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w:t>
      </w:r>
      <w:r>
        <w:rPr>
          <w:rFonts w:hint="eastAsia" w:ascii="Arial" w:hAnsi="Arial" w:eastAsia="宋体" w:cs="Arial"/>
          <w:b/>
          <w:bCs/>
          <w:sz w:val="24"/>
          <w:lang w:val="en-US" w:eastAsia="zh-CN"/>
        </w:rPr>
        <w:t>2118429</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1st</w:t>
      </w:r>
      <w:r>
        <w:rPr>
          <w:rFonts w:ascii="Arial" w:hAnsi="Arial" w:eastAsia="宋体"/>
          <w:b/>
          <w:sz w:val="24"/>
          <w:szCs w:val="24"/>
          <w:lang w:eastAsia="zh-CN"/>
        </w:rPr>
        <w:t>-</w:t>
      </w:r>
      <w:r>
        <w:rPr>
          <w:rFonts w:hint="eastAsia" w:ascii="Arial" w:hAnsi="Arial" w:eastAsia="宋体"/>
          <w:b/>
          <w:sz w:val="24"/>
          <w:szCs w:val="24"/>
          <w:lang w:val="en-US" w:eastAsia="zh-CN"/>
        </w:rPr>
        <w:t>12th</w:t>
      </w:r>
      <w:r>
        <w:rPr>
          <w:rFonts w:ascii="Arial" w:hAnsi="Arial" w:eastAsia="宋体"/>
          <w:b/>
          <w:sz w:val="24"/>
          <w:szCs w:val="24"/>
          <w:lang w:eastAsia="zh-CN"/>
        </w:rPr>
        <w:t xml:space="preserve">, </w:t>
      </w:r>
      <w:r>
        <w:rPr>
          <w:rFonts w:hint="eastAsia" w:ascii="Arial" w:hAnsi="Arial" w:eastAsia="宋体"/>
          <w:b/>
          <w:sz w:val="24"/>
          <w:szCs w:val="24"/>
          <w:lang w:val="en-US" w:eastAsia="zh-CN"/>
        </w:rPr>
        <w:t xml:space="preserve">Nov, </w:t>
      </w:r>
      <w:r>
        <w:rPr>
          <w:rFonts w:ascii="Arial" w:hAnsi="Arial" w:eastAsia="宋体"/>
          <w:b/>
          <w:sz w:val="24"/>
          <w:szCs w:val="24"/>
          <w:lang w:eastAsia="zh-CN"/>
        </w:rPr>
        <w:t>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hint="eastAsia"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Further discussion on timing requirements for NTN</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8.13.5.4</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w:t>
      </w:r>
      <w:r>
        <w:rPr>
          <w:rFonts w:hint="eastAsia" w:ascii="Arial" w:hAnsi="Arial" w:eastAsia="宋体" w:cs="Arial"/>
          <w:b/>
          <w:bCs/>
          <w:sz w:val="24"/>
          <w:lang w:val="zh-CN" w:eastAsia="zh-CN"/>
        </w:rPr>
        <w:t>pproval</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rPr>
          <w:rFonts w:hint="default" w:eastAsia="宋体"/>
          <w:sz w:val="20"/>
          <w:szCs w:val="20"/>
          <w:lang w:val="en-US" w:eastAsia="zh-CN"/>
        </w:rPr>
      </w:pPr>
      <w:r>
        <w:rPr>
          <w:rFonts w:hint="eastAsia" w:eastAsia="宋体"/>
          <w:sz w:val="20"/>
          <w:szCs w:val="20"/>
          <w:lang w:val="en-US" w:eastAsia="zh-CN"/>
        </w:rPr>
        <w:t>In the last 100-e meeting, timing requirements for NTN were discussed and a WF was agreed [1]. In this contribution ,we further provide our views on some open issues.</w:t>
      </w:r>
    </w:p>
    <w:p>
      <w:pPr>
        <w:pStyle w:val="29"/>
        <w:numPr>
          <w:ilvl w:val="0"/>
          <w:numId w:val="6"/>
        </w:numPr>
        <w:jc w:val="both"/>
        <w:rPr>
          <w:rFonts w:hint="eastAsia"/>
          <w:lang w:val="en-US" w:eastAsia="zh-CN"/>
        </w:rPr>
      </w:pPr>
      <w:r>
        <w:rPr>
          <w:rFonts w:hint="eastAsia"/>
          <w:lang w:val="en-US" w:eastAsia="zh-CN"/>
        </w:rPr>
        <w:t>Discussion</w:t>
      </w:r>
    </w:p>
    <w:p>
      <w:pPr>
        <w:overflowPunct w:val="0"/>
        <w:autoSpaceDE w:val="0"/>
        <w:autoSpaceDN w:val="0"/>
        <w:adjustRightInd w:val="0"/>
        <w:spacing w:after="120"/>
        <w:textAlignment w:val="baseline"/>
        <w:rPr>
          <w:rFonts w:ascii="Times New Roman" w:hAnsi="Times New Roman" w:cs="Times New Roman"/>
          <w:b/>
          <w:bCs/>
          <w:i w:val="0"/>
          <w:iCs w:val="0"/>
          <w:sz w:val="20"/>
          <w:szCs w:val="20"/>
          <w:u w:val="single"/>
          <w:lang w:val="en-GB"/>
        </w:rPr>
      </w:pPr>
      <w:r>
        <w:rPr>
          <w:rFonts w:ascii="Times New Roman" w:hAnsi="Times New Roman" w:cs="Times New Roman"/>
          <w:b/>
          <w:bCs/>
          <w:i w:val="0"/>
          <w:iCs w:val="0"/>
          <w:sz w:val="20"/>
          <w:szCs w:val="20"/>
          <w:u w:val="single"/>
          <w:lang w:val="en-GB"/>
        </w:rPr>
        <w:t xml:space="preserve"> UE specific TA estimation</w:t>
      </w:r>
    </w:p>
    <w:p>
      <w:pPr>
        <w:pBdr>
          <w:top w:val="single" w:color="auto" w:sz="4" w:space="0"/>
          <w:left w:val="single" w:color="auto" w:sz="4" w:space="0"/>
          <w:bottom w:val="single" w:color="auto" w:sz="4" w:space="0"/>
          <w:right w:val="single" w:color="auto" w:sz="4" w:space="0"/>
        </w:pBdr>
        <w:overflowPunct w:val="0"/>
        <w:autoSpaceDE w:val="0"/>
        <w:autoSpaceDN w:val="0"/>
        <w:adjustRightInd w:val="0"/>
        <w:spacing w:after="120"/>
        <w:textAlignment w:val="baseline"/>
        <w:rPr>
          <w:rFonts w:ascii="Times New Roman" w:hAnsi="Times New Roman" w:cs="Times New Roman"/>
          <w:sz w:val="20"/>
          <w:szCs w:val="20"/>
          <w:lang w:val="en-GB"/>
        </w:rPr>
      </w:pPr>
      <w:r>
        <w:rPr>
          <w:rFonts w:hint="eastAsia" w:ascii="Times New Roman" w:hAnsi="Times New Roman" w:eastAsia="宋体" w:cs="Times New Roman"/>
          <w:b w:val="0"/>
          <w:bCs w:val="0"/>
          <w:i w:val="0"/>
          <w:iCs w:val="0"/>
          <w:sz w:val="20"/>
          <w:szCs w:val="20"/>
          <w:u w:val="none"/>
          <w:lang w:val="en-US" w:eastAsia="zh-CN"/>
        </w:rPr>
        <w:t xml:space="preserve">WF on </w:t>
      </w:r>
      <w:r>
        <w:rPr>
          <w:rFonts w:ascii="Times New Roman" w:hAnsi="Times New Roman" w:cs="Times New Roman"/>
          <w:sz w:val="20"/>
          <w:szCs w:val="20"/>
          <w:lang w:val="en-GB"/>
        </w:rPr>
        <w:t>UE specific TA estimation</w:t>
      </w:r>
    </w:p>
    <w:p>
      <w:pPr>
        <w:pStyle w:val="27"/>
        <w:numPr>
          <w:ilvl w:val="0"/>
          <w:numId w:val="7"/>
        </w:numPr>
        <w:pBdr>
          <w:top w:val="single" w:color="auto" w:sz="4" w:space="0"/>
          <w:left w:val="single" w:color="auto" w:sz="4" w:space="0"/>
          <w:bottom w:val="single" w:color="auto" w:sz="4" w:space="0"/>
          <w:right w:val="single" w:color="auto" w:sz="4" w:space="0"/>
        </w:pBdr>
        <w:spacing w:after="240"/>
        <w:ind w:firstLineChars="0"/>
        <w:rPr>
          <w:rFonts w:ascii="Times New Roman" w:hAnsi="Times New Roman" w:cs="Times New Roman"/>
          <w:sz w:val="20"/>
          <w:szCs w:val="20"/>
          <w:lang w:val="en-GB"/>
        </w:rPr>
      </w:pPr>
      <w:r>
        <w:rPr>
          <w:rFonts w:ascii="Times New Roman" w:hAnsi="Times New Roman" w:cs="Times New Roman"/>
          <w:sz w:val="20"/>
          <w:szCs w:val="20"/>
          <w:lang w:val="en-GB"/>
        </w:rPr>
        <w:t>UE behaviour for UE specific TA</w:t>
      </w:r>
    </w:p>
    <w:p>
      <w:pPr>
        <w:pStyle w:val="27"/>
        <w:numPr>
          <w:ilvl w:val="0"/>
          <w:numId w:val="8"/>
        </w:numPr>
        <w:pBdr>
          <w:top w:val="single" w:color="auto" w:sz="4" w:space="0"/>
          <w:left w:val="single" w:color="auto" w:sz="4" w:space="0"/>
          <w:bottom w:val="single" w:color="auto" w:sz="4" w:space="0"/>
          <w:right w:val="single" w:color="auto" w:sz="4" w:space="0"/>
        </w:pBdr>
        <w:spacing w:after="240"/>
        <w:ind w:left="420" w:leftChars="0" w:hanging="420" w:firstLineChars="0"/>
        <w:rPr>
          <w:rFonts w:ascii="Times New Roman" w:hAnsi="Times New Roman" w:cs="Times New Roman"/>
          <w:sz w:val="20"/>
          <w:szCs w:val="20"/>
          <w:lang w:val="en-GB"/>
        </w:rPr>
      </w:pPr>
      <w:r>
        <w:rPr>
          <w:rFonts w:ascii="Times New Roman" w:hAnsi="Times New Roman" w:cs="Times New Roman"/>
          <w:sz w:val="20"/>
          <w:szCs w:val="20"/>
          <w:lang w:val="en-GB"/>
        </w:rPr>
        <w:t>FFS whether and how to specify UE behaviour on updating rate for UE specific TA estimation</w:t>
      </w:r>
    </w:p>
    <w:p>
      <w:pPr>
        <w:pStyle w:val="27"/>
        <w:numPr>
          <w:ilvl w:val="0"/>
          <w:numId w:val="8"/>
        </w:numPr>
        <w:pBdr>
          <w:top w:val="single" w:color="auto" w:sz="4" w:space="0"/>
          <w:left w:val="single" w:color="auto" w:sz="4" w:space="0"/>
          <w:bottom w:val="single" w:color="auto" w:sz="4" w:space="0"/>
          <w:right w:val="single" w:color="auto" w:sz="4" w:space="0"/>
        </w:pBdr>
        <w:spacing w:after="240"/>
        <w:ind w:left="420" w:leftChars="0" w:hanging="420" w:firstLineChars="0"/>
        <w:rPr>
          <w:rFonts w:ascii="Times New Roman" w:hAnsi="Times New Roman" w:cs="Times New Roman"/>
          <w:sz w:val="20"/>
          <w:szCs w:val="20"/>
          <w:lang w:val="en-GB"/>
        </w:rPr>
      </w:pPr>
      <w:r>
        <w:rPr>
          <w:rFonts w:ascii="Times New Roman" w:hAnsi="Times New Roman" w:cs="Times New Roman"/>
          <w:sz w:val="20"/>
          <w:szCs w:val="20"/>
          <w:lang w:val="en-GB"/>
        </w:rPr>
        <w:t>FFS whether and how to specify UE behaviour on UE specific TA updating before applying TA adjustment</w:t>
      </w:r>
    </w:p>
    <w:p>
      <w:pPr>
        <w:rPr>
          <w:rFonts w:ascii="Times New Roman" w:hAnsi="Times New Roman" w:cs="Times New Roman"/>
          <w:lang w:val="en-GB"/>
        </w:rPr>
      </w:pPr>
    </w:p>
    <w:p>
      <w:pPr>
        <w:pStyle w:val="27"/>
        <w:numPr>
          <w:ilvl w:val="0"/>
          <w:numId w:val="8"/>
        </w:numPr>
        <w:pBdr>
          <w:top w:val="none" w:color="auto" w:sz="0" w:space="0"/>
          <w:left w:val="none" w:color="auto" w:sz="0" w:space="0"/>
          <w:bottom w:val="none" w:color="auto" w:sz="0" w:space="0"/>
          <w:right w:val="none" w:color="auto" w:sz="0" w:space="0"/>
        </w:pBdr>
        <w:spacing w:after="240"/>
        <w:ind w:left="420" w:leftChars="0" w:hanging="420" w:firstLineChars="0"/>
        <w:rPr>
          <w:rFonts w:ascii="Times New Roman" w:hAnsi="Times New Roman" w:cs="Times New Roman"/>
          <w:sz w:val="20"/>
          <w:szCs w:val="20"/>
          <w:lang w:val="en-GB"/>
        </w:rPr>
      </w:pPr>
      <w:r>
        <w:rPr>
          <w:rFonts w:ascii="Times New Roman" w:hAnsi="Times New Roman" w:cs="Times New Roman"/>
          <w:sz w:val="20"/>
          <w:szCs w:val="20"/>
          <w:lang w:val="en-GB"/>
        </w:rPr>
        <w:t>FFS whether and how to specify UE behaviour on updating rate for UE specific TA estimation</w:t>
      </w:r>
    </w:p>
    <w:p>
      <w:pPr>
        <w:rPr>
          <w:rFonts w:hint="default" w:eastAsia="宋体"/>
          <w:sz w:val="20"/>
          <w:szCs w:val="20"/>
          <w:lang w:val="en-US" w:eastAsia="zh-CN"/>
        </w:rPr>
      </w:pPr>
      <w:r>
        <w:rPr>
          <w:rFonts w:hint="eastAsia" w:eastAsia="宋体"/>
          <w:sz w:val="20"/>
          <w:szCs w:val="20"/>
          <w:lang w:val="en-GB" w:eastAsia="zh-CN"/>
        </w:rPr>
        <w:t>UE specific TA estimation</w:t>
      </w:r>
      <w:r>
        <w:rPr>
          <w:rFonts w:hint="eastAsia" w:eastAsia="宋体"/>
          <w:sz w:val="20"/>
          <w:szCs w:val="20"/>
          <w:lang w:val="en-US" w:eastAsia="zh-CN"/>
        </w:rPr>
        <w:t xml:space="preserve"> is performed by UE to update the UE specific TA value to meet corresponding timing requirements. If the error introduced by UE specific TA estimation could always be limited within Te, there is no need to define how to update UE specific TA value in RAN4.</w:t>
      </w:r>
    </w:p>
    <w:p>
      <w:pPr>
        <w:rPr>
          <w:rFonts w:hint="default" w:eastAsia="宋体" w:cs="Times New Roman"/>
          <w:b/>
          <w:bCs/>
          <w:lang w:val="en-US" w:eastAsia="zh-CN"/>
        </w:rPr>
      </w:pPr>
      <w:r>
        <w:rPr>
          <w:rFonts w:hint="eastAsia" w:eastAsia="宋体" w:cs="Times New Roman"/>
          <w:b/>
          <w:bCs/>
          <w:lang w:val="en-US" w:eastAsia="zh-CN"/>
        </w:rPr>
        <w:t xml:space="preserve">Proposal 1: No need to define </w:t>
      </w:r>
      <w:r>
        <w:rPr>
          <w:rFonts w:hint="eastAsia" w:eastAsia="宋体" w:cs="Times New Roman"/>
          <w:b/>
          <w:bCs/>
          <w:lang w:val="en-GB" w:eastAsia="zh-CN"/>
        </w:rPr>
        <w:t>UE behaviour on updating rate for UE specific TA estimation</w:t>
      </w:r>
      <w:r>
        <w:rPr>
          <w:rFonts w:hint="eastAsia" w:eastAsia="宋体" w:cs="Times New Roman"/>
          <w:b/>
          <w:bCs/>
          <w:lang w:val="en-US" w:eastAsia="zh-CN"/>
        </w:rPr>
        <w:t>.</w:t>
      </w:r>
    </w:p>
    <w:p>
      <w:pPr>
        <w:rPr>
          <w:rFonts w:hint="eastAsia" w:eastAsia="宋体"/>
          <w:sz w:val="22"/>
          <w:lang w:val="en-US" w:eastAsia="zh-CN"/>
        </w:rPr>
      </w:pPr>
    </w:p>
    <w:p>
      <w:pPr>
        <w:pStyle w:val="27"/>
        <w:numPr>
          <w:ilvl w:val="0"/>
          <w:numId w:val="8"/>
        </w:numPr>
        <w:pBdr>
          <w:top w:val="none" w:color="auto" w:sz="0" w:space="0"/>
          <w:left w:val="none" w:color="auto" w:sz="0" w:space="0"/>
          <w:bottom w:val="none" w:color="auto" w:sz="0" w:space="0"/>
          <w:right w:val="none" w:color="auto" w:sz="0" w:space="0"/>
        </w:pBdr>
        <w:spacing w:after="240"/>
        <w:ind w:left="420" w:leftChars="0" w:hanging="420" w:firstLineChars="0"/>
        <w:rPr>
          <w:rFonts w:ascii="Times New Roman" w:hAnsi="Times New Roman" w:cs="Times New Roman"/>
          <w:lang w:val="en-GB"/>
        </w:rPr>
      </w:pPr>
      <w:r>
        <w:rPr>
          <w:rFonts w:ascii="Times New Roman" w:hAnsi="Times New Roman" w:cs="Times New Roman"/>
          <w:lang w:val="en-GB"/>
        </w:rPr>
        <w:t>FFS whether and how to specify UE behaviour on UE specific TA updating before applying TA adjustment</w:t>
      </w:r>
    </w:p>
    <w:p>
      <w:pPr>
        <w:rPr>
          <w:rFonts w:hint="eastAsia" w:eastAsia="宋体" w:cs="Times New Roman"/>
          <w:lang w:val="en-US" w:eastAsia="zh-CN"/>
        </w:rPr>
      </w:pPr>
      <w:r>
        <w:rPr>
          <w:rFonts w:hint="eastAsia" w:eastAsia="宋体" w:cs="Times New Roman"/>
          <w:lang w:val="en-US" w:eastAsia="zh-CN"/>
        </w:rPr>
        <w:t xml:space="preserve">RAN1 had the conclusion that an NTN UE in RRC_CONNECTED state is required to support UE specific TA calculation based at least on its GNSS-acquired position and the serving satellite ephemeris. The UE specific TA calculation was discussed in RAN1. And </w:t>
      </w:r>
      <w:r>
        <w:rPr>
          <w:rFonts w:ascii="Times New Roman" w:hAnsi="Times New Roman" w:cs="Times New Roman"/>
          <w:lang w:val="en-GB"/>
        </w:rPr>
        <w:t>UE behaviour on UE specific TA updating before applying TA adjustment</w:t>
      </w:r>
      <w:r>
        <w:rPr>
          <w:rFonts w:hint="eastAsia" w:eastAsia="宋体" w:cs="Times New Roman"/>
          <w:lang w:val="en-US" w:eastAsia="zh-CN"/>
        </w:rPr>
        <w:t xml:space="preserve"> is up to UE implementation. </w:t>
      </w:r>
    </w:p>
    <w:p>
      <w:pPr>
        <w:rPr>
          <w:rFonts w:hint="eastAsia" w:eastAsia="宋体" w:cs="Times New Roman"/>
          <w:b/>
          <w:bCs/>
          <w:lang w:val="en-US" w:eastAsia="zh-CN"/>
        </w:rPr>
      </w:pPr>
      <w:r>
        <w:rPr>
          <w:rFonts w:hint="eastAsia" w:eastAsia="宋体" w:cs="Times New Roman"/>
          <w:b/>
          <w:bCs/>
          <w:lang w:val="en-US" w:eastAsia="zh-CN"/>
        </w:rPr>
        <w:t xml:space="preserve">Proposal 2: No need to specify </w:t>
      </w:r>
      <w:r>
        <w:rPr>
          <w:rFonts w:hint="eastAsia" w:eastAsia="宋体" w:cs="Times New Roman"/>
          <w:b/>
          <w:bCs/>
          <w:lang w:val="en-GB" w:eastAsia="zh-CN"/>
        </w:rPr>
        <w:t xml:space="preserve">UE behaviour on </w:t>
      </w:r>
      <w:r>
        <w:rPr>
          <w:rFonts w:ascii="Times New Roman" w:hAnsi="Times New Roman" w:cs="Times New Roman"/>
          <w:b/>
          <w:bCs/>
          <w:lang w:val="en-GB"/>
        </w:rPr>
        <w:t>UE specific TA updating before applying TA adjustment</w:t>
      </w:r>
      <w:r>
        <w:rPr>
          <w:rFonts w:hint="eastAsia" w:eastAsia="宋体" w:cs="Times New Roman"/>
          <w:b/>
          <w:bCs/>
          <w:lang w:val="en-US" w:eastAsia="zh-CN"/>
        </w:rPr>
        <w:t>.</w:t>
      </w:r>
    </w:p>
    <w:p>
      <w:pPr>
        <w:rPr>
          <w:rFonts w:hint="default" w:eastAsia="宋体" w:cs="Times New Roman"/>
          <w:b/>
          <w:bCs/>
          <w:lang w:val="en-US" w:eastAsia="zh-CN"/>
        </w:rPr>
      </w:pPr>
    </w:p>
    <w:p>
      <w:pPr>
        <w:rPr>
          <w:b/>
          <w:bCs/>
          <w:u w:val="single"/>
        </w:rPr>
      </w:pPr>
      <w:r>
        <w:rPr>
          <w:b/>
          <w:bCs/>
          <w:u w:val="single"/>
        </w:rPr>
        <w:t>UE transmit timing requirements</w:t>
      </w:r>
    </w:p>
    <w:p>
      <w:pPr>
        <w:pStyle w:val="27"/>
        <w:numPr>
          <w:ilvl w:val="0"/>
          <w:numId w:val="7"/>
        </w:numPr>
        <w:pBdr>
          <w:top w:val="single" w:color="auto" w:sz="4" w:space="0"/>
          <w:left w:val="single" w:color="auto" w:sz="4" w:space="0"/>
          <w:bottom w:val="single" w:color="auto" w:sz="4" w:space="0"/>
          <w:right w:val="single" w:color="auto" w:sz="4" w:space="0"/>
        </w:pBdr>
        <w:spacing w:after="240"/>
        <w:ind w:firstLineChars="0"/>
        <w:rPr>
          <w:rFonts w:ascii="Times New Roman" w:hAnsi="Times New Roman" w:cs="Times New Roman"/>
          <w:lang w:val="en-GB"/>
        </w:rPr>
      </w:pPr>
      <w:r>
        <w:rPr>
          <w:rFonts w:hint="eastAsia" w:ascii="Times New Roman" w:hAnsi="Times New Roman" w:cs="Times New Roman"/>
          <w:lang w:val="en-GB"/>
        </w:rPr>
        <w:t>F</w:t>
      </w:r>
      <w:r>
        <w:rPr>
          <w:rFonts w:ascii="Times New Roman" w:hAnsi="Times New Roman" w:cs="Times New Roman"/>
          <w:lang w:val="en-GB"/>
        </w:rPr>
        <w:t>FS the serving-satellite position estimation error (T</w:t>
      </w:r>
      <w:r>
        <w:rPr>
          <w:rFonts w:ascii="Times New Roman" w:hAnsi="Times New Roman" w:cs="Times New Roman"/>
          <w:vertAlign w:val="subscript"/>
          <w:lang w:val="en-GB"/>
        </w:rPr>
        <w:t>e_SAT</w:t>
      </w:r>
      <w:r>
        <w:rPr>
          <w:rFonts w:ascii="Times New Roman" w:hAnsi="Times New Roman" w:cs="Times New Roman"/>
          <w:lang w:val="en-GB"/>
        </w:rPr>
        <w:t>).</w:t>
      </w:r>
    </w:p>
    <w:p>
      <w:pPr>
        <w:pStyle w:val="27"/>
        <w:numPr>
          <w:ilvl w:val="0"/>
          <w:numId w:val="0"/>
        </w:numPr>
        <w:pBdr>
          <w:top w:val="single" w:color="auto" w:sz="4" w:space="0"/>
          <w:left w:val="single" w:color="auto" w:sz="4" w:space="0"/>
          <w:bottom w:val="single" w:color="auto" w:sz="4" w:space="0"/>
          <w:right w:val="single" w:color="auto" w:sz="4" w:space="0"/>
        </w:pBdr>
        <w:spacing w:after="240"/>
        <w:rPr>
          <w:rFonts w:ascii="Times New Roman" w:hAnsi="Times New Roman" w:cs="Times New Roman"/>
          <w:lang w:val="en-GB"/>
        </w:rPr>
      </w:pPr>
      <w:r>
        <w:rPr>
          <w:rFonts w:ascii="Times New Roman" w:hAnsi="Times New Roman" w:cs="Times New Roman"/>
          <w:lang w:val="en-GB"/>
        </w:rPr>
        <w:t>Option 1: T</w:t>
      </w:r>
      <w:r>
        <w:rPr>
          <w:rFonts w:ascii="Times New Roman" w:hAnsi="Times New Roman" w:cs="Times New Roman"/>
          <w:vertAlign w:val="subscript"/>
          <w:lang w:val="en-GB"/>
        </w:rPr>
        <w:t>e_SAT</w:t>
      </w:r>
      <w:r>
        <w:rPr>
          <w:rFonts w:ascii="Times New Roman" w:hAnsi="Times New Roman" w:cs="Times New Roman"/>
          <w:lang w:val="en-GB"/>
        </w:rPr>
        <w:t xml:space="preserve"> </w:t>
      </w:r>
      <w:r>
        <w:rPr>
          <w:rFonts w:hint="eastAsia" w:ascii="Times New Roman" w:hAnsi="Times New Roman" w:cs="Times New Roman"/>
          <w:lang w:val="en-GB"/>
        </w:rPr>
        <w:t>is</w:t>
      </w:r>
      <w:r>
        <w:rPr>
          <w:rFonts w:ascii="Times New Roman" w:hAnsi="Times New Roman" w:cs="Times New Roman"/>
          <w:lang w:val="en-GB"/>
        </w:rPr>
        <w:t xml:space="preserve"> the error from calculation model used by UE side</w:t>
      </w:r>
    </w:p>
    <w:p>
      <w:pPr>
        <w:pStyle w:val="27"/>
        <w:numPr>
          <w:ilvl w:val="0"/>
          <w:numId w:val="0"/>
        </w:numPr>
        <w:pBdr>
          <w:top w:val="single" w:color="auto" w:sz="4" w:space="0"/>
          <w:left w:val="single" w:color="auto" w:sz="4" w:space="0"/>
          <w:bottom w:val="single" w:color="auto" w:sz="4" w:space="0"/>
          <w:right w:val="single" w:color="auto" w:sz="4" w:space="0"/>
        </w:pBdr>
        <w:spacing w:after="240"/>
        <w:rPr>
          <w:rFonts w:ascii="Times New Roman" w:hAnsi="Times New Roman" w:cs="Times New Roman"/>
          <w:lang w:val="en-GB"/>
        </w:rPr>
      </w:pPr>
      <w:r>
        <w:rPr>
          <w:rFonts w:hint="eastAsia" w:ascii="Times New Roman" w:hAnsi="Times New Roman" w:cs="Times New Roman"/>
          <w:lang w:val="en-GB"/>
        </w:rPr>
        <w:t>O</w:t>
      </w:r>
      <w:r>
        <w:rPr>
          <w:rFonts w:ascii="Times New Roman" w:hAnsi="Times New Roman" w:cs="Times New Roman"/>
          <w:lang w:val="en-GB"/>
        </w:rPr>
        <w:t>ption 2: T</w:t>
      </w:r>
      <w:r>
        <w:rPr>
          <w:rFonts w:ascii="Times New Roman" w:hAnsi="Times New Roman" w:cs="Times New Roman"/>
          <w:vertAlign w:val="subscript"/>
          <w:lang w:val="en-GB"/>
        </w:rPr>
        <w:t>e_SAT</w:t>
      </w:r>
      <w:r>
        <w:rPr>
          <w:rFonts w:ascii="Times New Roman" w:hAnsi="Times New Roman" w:cs="Times New Roman"/>
          <w:lang w:val="en-GB"/>
        </w:rPr>
        <w:t xml:space="preserve"> </w:t>
      </w:r>
      <w:r>
        <w:rPr>
          <w:rFonts w:hint="eastAsia" w:ascii="Times New Roman" w:hAnsi="Times New Roman" w:cs="Times New Roman"/>
          <w:lang w:val="en-GB"/>
        </w:rPr>
        <w:t>is</w:t>
      </w:r>
      <w:r>
        <w:rPr>
          <w:rFonts w:ascii="Times New Roman" w:hAnsi="Times New Roman" w:cs="Times New Roman"/>
          <w:lang w:val="en-GB"/>
        </w:rPr>
        <w:t xml:space="preserve"> error due to outdated/inaccurate ephemeris information</w:t>
      </w:r>
    </w:p>
    <w:p>
      <w:pPr>
        <w:pStyle w:val="27"/>
        <w:numPr>
          <w:ilvl w:val="0"/>
          <w:numId w:val="0"/>
        </w:numPr>
        <w:pBdr>
          <w:top w:val="single" w:color="auto" w:sz="4" w:space="0"/>
          <w:left w:val="single" w:color="auto" w:sz="4" w:space="0"/>
          <w:bottom w:val="single" w:color="auto" w:sz="4" w:space="0"/>
          <w:right w:val="single" w:color="auto" w:sz="4" w:space="0"/>
        </w:pBdr>
        <w:spacing w:after="240"/>
        <w:rPr>
          <w:rFonts w:ascii="Times New Roman" w:hAnsi="Times New Roman" w:cs="Times New Roman"/>
          <w:lang w:val="en-GB"/>
        </w:rPr>
      </w:pPr>
      <w:r>
        <w:rPr>
          <w:rFonts w:ascii="Times New Roman" w:hAnsi="Times New Roman" w:cs="Times New Roman"/>
          <w:lang w:val="en-GB"/>
        </w:rPr>
        <w:t>Option 3: The error in both option 1 and option 2 should be accounted in Te_SAT.</w:t>
      </w:r>
    </w:p>
    <w:p>
      <w:pPr>
        <w:pStyle w:val="27"/>
        <w:numPr>
          <w:ilvl w:val="0"/>
          <w:numId w:val="0"/>
        </w:numPr>
        <w:pBdr>
          <w:top w:val="single" w:color="auto" w:sz="4" w:space="0"/>
          <w:left w:val="single" w:color="auto" w:sz="4" w:space="0"/>
          <w:bottom w:val="single" w:color="auto" w:sz="4" w:space="0"/>
          <w:right w:val="single" w:color="auto" w:sz="4" w:space="0"/>
        </w:pBdr>
        <w:spacing w:after="240"/>
        <w:ind w:leftChars="0"/>
        <w:rPr>
          <w:rFonts w:ascii="Times New Roman" w:hAnsi="Times New Roman" w:cs="Times New Roman"/>
          <w:lang w:val="en-GB"/>
        </w:rPr>
      </w:pPr>
    </w:p>
    <w:p>
      <w:pPr>
        <w:rPr>
          <w:rFonts w:hint="eastAsia" w:eastAsia="宋体"/>
          <w:lang w:val="en-US" w:eastAsia="zh-CN"/>
        </w:rPr>
      </w:pPr>
      <w:r>
        <w:rPr>
          <w:rFonts w:hint="eastAsia" w:eastAsia="宋体"/>
          <w:lang w:val="en-US" w:eastAsia="zh-CN"/>
        </w:rPr>
        <w:t>RAN1 106-e had the following agreement:</w:t>
      </w:r>
    </w:p>
    <w:p>
      <w:pPr>
        <w:numPr>
          <w:ilvl w:val="0"/>
          <w:numId w:val="0"/>
        </w:numPr>
        <w:spacing w:after="0"/>
        <w:ind w:left="360" w:leftChars="0"/>
        <w:rPr>
          <w:b w:val="0"/>
          <w:bCs/>
          <w:i/>
          <w:iCs/>
          <w:lang w:eastAsia="zh-CN"/>
        </w:rPr>
      </w:pPr>
      <w:r>
        <w:rPr>
          <w:b w:val="0"/>
          <w:bCs/>
          <w:i/>
          <w:iCs/>
          <w:lang w:eastAsia="zh-CN"/>
        </w:rPr>
        <w:t>A validity duration configured by the network for satellite ephemeris data indicates the maximum time during which the UE can apply the satellite ephemeris without having acquired new satellite ephemeris.</w:t>
      </w:r>
    </w:p>
    <w:p>
      <w:pPr>
        <w:rPr>
          <w:rFonts w:hint="default"/>
          <w:lang w:val="en-US" w:eastAsia="zh-CN"/>
        </w:rPr>
      </w:pPr>
    </w:p>
    <w:p>
      <w:pPr>
        <w:rPr>
          <w:rFonts w:hint="eastAsia" w:eastAsia="宋体" w:cs="Times New Roman"/>
          <w:lang w:val="en-US" w:eastAsia="zh-CN"/>
        </w:rPr>
      </w:pPr>
      <w:r>
        <w:rPr>
          <w:rFonts w:hint="eastAsia"/>
          <w:lang w:val="en-US" w:eastAsia="zh-CN"/>
        </w:rPr>
        <w:t xml:space="preserve">The </w:t>
      </w:r>
      <w:r>
        <w:t>validity duration</w:t>
      </w:r>
      <w:r>
        <w:rPr>
          <w:rFonts w:hint="eastAsia" w:eastAsia="宋体"/>
          <w:lang w:val="en-US" w:eastAsia="zh-CN"/>
        </w:rPr>
        <w:t xml:space="preserve"> and </w:t>
      </w:r>
      <w:r>
        <w:rPr>
          <w:rFonts w:hint="eastAsia"/>
          <w:lang w:val="en-US" w:eastAsia="zh-CN"/>
        </w:rPr>
        <w:t>t</w:t>
      </w:r>
      <w:r>
        <w:rPr>
          <w:lang w:eastAsia="zh-CN"/>
        </w:rPr>
        <w:t xml:space="preserve">he </w:t>
      </w:r>
      <w:r>
        <w:rPr>
          <w:rFonts w:hint="eastAsia"/>
          <w:lang w:val="en-US" w:eastAsia="zh-CN"/>
        </w:rPr>
        <w:t>u</w:t>
      </w:r>
      <w:r>
        <w:rPr>
          <w:lang w:eastAsia="zh-CN"/>
        </w:rPr>
        <w:t xml:space="preserve">pdate rate </w:t>
      </w:r>
      <w:r>
        <w:rPr>
          <w:rFonts w:hint="eastAsia" w:eastAsia="宋体"/>
          <w:lang w:val="en-US" w:eastAsia="zh-CN"/>
        </w:rPr>
        <w:t xml:space="preserve">of </w:t>
      </w:r>
      <w:r>
        <w:rPr>
          <w:rFonts w:hint="eastAsia"/>
          <w:lang w:val="en-US" w:eastAsia="zh-CN"/>
        </w:rPr>
        <w:t>s</w:t>
      </w:r>
      <w:r>
        <w:t>atellite ephemeris data</w:t>
      </w:r>
      <w:r>
        <w:rPr>
          <w:rFonts w:hint="eastAsia" w:eastAsia="宋体"/>
          <w:lang w:val="en-US" w:eastAsia="zh-CN"/>
        </w:rPr>
        <w:t xml:space="preserve"> will impact </w:t>
      </w:r>
      <w:r>
        <w:rPr>
          <w:rFonts w:hint="eastAsia"/>
          <w:lang w:val="en-US" w:eastAsia="zh-CN"/>
        </w:rPr>
        <w:t xml:space="preserve">the accuracy of </w:t>
      </w:r>
      <w:r>
        <w:rPr>
          <w:lang w:val="en-US"/>
        </w:rPr>
        <w:t>UE</w:t>
      </w:r>
      <w:r>
        <w:rPr>
          <w:rFonts w:hint="eastAsia" w:eastAsia="宋体"/>
          <w:lang w:val="en-US" w:eastAsia="zh-CN"/>
        </w:rPr>
        <w:t xml:space="preserve"> </w:t>
      </w:r>
      <w:r>
        <w:rPr>
          <w:lang w:val="en-US"/>
        </w:rPr>
        <w:t>autonomous TA</w:t>
      </w:r>
      <w:r>
        <w:rPr>
          <w:rFonts w:hint="eastAsia" w:eastAsia="宋体"/>
          <w:lang w:val="en-US" w:eastAsia="zh-CN"/>
        </w:rPr>
        <w:t xml:space="preserve"> . If </w:t>
      </w:r>
      <w:r>
        <w:rPr>
          <w:rFonts w:hint="eastAsia"/>
          <w:lang w:val="en-US" w:eastAsia="zh-CN"/>
        </w:rPr>
        <w:t xml:space="preserve">satellite ephemeris data is valid for the UE during the validity duration, </w:t>
      </w:r>
      <w:r>
        <w:rPr>
          <w:rFonts w:ascii="Times New Roman" w:hAnsi="Times New Roman" w:cs="Times New Roman"/>
          <w:lang w:val="en-GB"/>
        </w:rPr>
        <w:t>T</w:t>
      </w:r>
      <w:r>
        <w:rPr>
          <w:rFonts w:ascii="Times New Roman" w:hAnsi="Times New Roman" w:cs="Times New Roman"/>
          <w:vertAlign w:val="subscript"/>
          <w:lang w:val="en-GB"/>
        </w:rPr>
        <w:t>e_SAT</w:t>
      </w:r>
      <w:r>
        <w:rPr>
          <w:rFonts w:ascii="Times New Roman" w:hAnsi="Times New Roman" w:cs="Times New Roman"/>
          <w:lang w:val="en-GB"/>
        </w:rPr>
        <w:t xml:space="preserve"> </w:t>
      </w:r>
      <w:r>
        <w:rPr>
          <w:rFonts w:hint="eastAsia" w:eastAsia="宋体" w:cs="Times New Roman"/>
          <w:lang w:val="en-US" w:eastAsia="zh-CN"/>
        </w:rPr>
        <w:t xml:space="preserve">only needs to take into account the </w:t>
      </w:r>
      <w:r>
        <w:rPr>
          <w:rFonts w:ascii="Times New Roman" w:hAnsi="Times New Roman" w:cs="Times New Roman"/>
          <w:lang w:val="en-GB"/>
        </w:rPr>
        <w:t>calculation</w:t>
      </w:r>
      <w:r>
        <w:rPr>
          <w:rFonts w:hint="eastAsia" w:eastAsia="宋体" w:cs="Times New Roman"/>
          <w:lang w:val="en-US" w:eastAsia="zh-CN"/>
        </w:rPr>
        <w:t xml:space="preserve"> error from the UE.</w:t>
      </w:r>
      <w:bookmarkStart w:id="4" w:name="_GoBack"/>
      <w:bookmarkEnd w:id="4"/>
    </w:p>
    <w:p>
      <w:pPr>
        <w:pStyle w:val="27"/>
        <w:numPr>
          <w:ilvl w:val="0"/>
          <w:numId w:val="0"/>
        </w:numPr>
        <w:pBdr>
          <w:top w:val="none" w:color="auto" w:sz="0" w:space="0"/>
          <w:left w:val="none" w:color="auto" w:sz="0" w:space="0"/>
          <w:bottom w:val="none" w:color="auto" w:sz="0" w:space="0"/>
          <w:right w:val="none" w:color="auto" w:sz="0" w:space="0"/>
        </w:pBdr>
        <w:spacing w:after="240"/>
        <w:ind w:left="0" w:leftChars="0"/>
        <w:rPr>
          <w:rFonts w:hint="eastAsia"/>
          <w:b/>
          <w:bCs/>
          <w:lang w:val="en-US" w:eastAsia="zh-CN"/>
        </w:rPr>
      </w:pPr>
      <w:r>
        <w:rPr>
          <w:rFonts w:hint="eastAsia" w:eastAsia="宋体" w:cs="Times New Roman"/>
          <w:b/>
          <w:bCs/>
          <w:lang w:val="en-US" w:eastAsia="zh-CN"/>
        </w:rPr>
        <w:t>Pr</w:t>
      </w:r>
      <w:r>
        <w:rPr>
          <w:rFonts w:hint="eastAsia"/>
          <w:b/>
          <w:bCs/>
          <w:lang w:val="en-US" w:eastAsia="zh-CN"/>
        </w:rPr>
        <w:t xml:space="preserve">oposal 3: During the validity duration of satellite ephemeris data, </w:t>
      </w:r>
      <w:r>
        <w:rPr>
          <w:rFonts w:hint="eastAsia"/>
          <w:b/>
          <w:bCs/>
          <w:lang w:val="en-GB" w:eastAsia="zh-CN"/>
        </w:rPr>
        <w:t>Te_SAT is the error from calculation model used by UE side</w:t>
      </w:r>
      <w:r>
        <w:rPr>
          <w:rFonts w:hint="eastAsia"/>
          <w:b/>
          <w:bCs/>
          <w:lang w:val="en-US" w:eastAsia="zh-CN"/>
        </w:rPr>
        <w:t>.</w:t>
      </w:r>
    </w:p>
    <w:p>
      <w:pPr>
        <w:pStyle w:val="27"/>
        <w:numPr>
          <w:ilvl w:val="0"/>
          <w:numId w:val="0"/>
        </w:numPr>
        <w:pBdr>
          <w:top w:val="none" w:color="auto" w:sz="0" w:space="0"/>
          <w:left w:val="none" w:color="auto" w:sz="0" w:space="0"/>
          <w:bottom w:val="none" w:color="auto" w:sz="0" w:space="0"/>
          <w:right w:val="none" w:color="auto" w:sz="0" w:space="0"/>
        </w:pBdr>
        <w:spacing w:after="240"/>
        <w:ind w:left="0" w:leftChars="0"/>
        <w:rPr>
          <w:rFonts w:hint="eastAsia"/>
          <w:b/>
          <w:bCs/>
          <w:lang w:val="en-US" w:eastAsia="zh-CN"/>
        </w:rPr>
      </w:pPr>
    </w:p>
    <w:p>
      <w:pPr>
        <w:pStyle w:val="27"/>
        <w:numPr>
          <w:ilvl w:val="0"/>
          <w:numId w:val="0"/>
        </w:numPr>
        <w:pBdr>
          <w:top w:val="none" w:color="auto" w:sz="0" w:space="0"/>
          <w:left w:val="none" w:color="auto" w:sz="0" w:space="0"/>
          <w:bottom w:val="none" w:color="auto" w:sz="0" w:space="0"/>
          <w:right w:val="none" w:color="auto" w:sz="0" w:space="0"/>
        </w:pBdr>
        <w:spacing w:after="240"/>
        <w:ind w:left="0" w:leftChars="0"/>
        <w:rPr>
          <w:rFonts w:hint="default"/>
          <w:b/>
          <w:bCs/>
          <w:lang w:val="en-US" w:eastAsia="zh-CN"/>
        </w:rPr>
      </w:pPr>
    </w:p>
    <w:p>
      <w:pPr>
        <w:pStyle w:val="27"/>
        <w:numPr>
          <w:ilvl w:val="0"/>
          <w:numId w:val="7"/>
        </w:numPr>
        <w:pBdr>
          <w:top w:val="single" w:color="auto" w:sz="4" w:space="0"/>
          <w:left w:val="single" w:color="auto" w:sz="4" w:space="0"/>
          <w:bottom w:val="single" w:color="auto" w:sz="4" w:space="0"/>
          <w:right w:val="single" w:color="auto" w:sz="4" w:space="0"/>
        </w:pBdr>
        <w:spacing w:after="240"/>
        <w:ind w:firstLineChars="0"/>
        <w:rPr>
          <w:rFonts w:ascii="Times New Roman" w:hAnsi="Times New Roman" w:cs="Times New Roman"/>
          <w:lang w:val="en-GB"/>
        </w:rPr>
      </w:pPr>
      <w:r>
        <w:rPr>
          <w:rFonts w:ascii="Times New Roman" w:hAnsi="Times New Roman" w:cs="Times New Roman"/>
          <w:lang w:val="en-GB"/>
        </w:rPr>
        <w:t>The principle for gradual timing adjustment requirement</w:t>
      </w:r>
    </w:p>
    <w:p>
      <w:pPr>
        <w:pStyle w:val="27"/>
        <w:numPr>
          <w:ilvl w:val="0"/>
          <w:numId w:val="0"/>
        </w:numPr>
        <w:pBdr>
          <w:top w:val="single" w:color="auto" w:sz="4" w:space="0"/>
          <w:left w:val="single" w:color="auto" w:sz="4" w:space="0"/>
          <w:bottom w:val="single" w:color="auto" w:sz="4" w:space="0"/>
          <w:right w:val="single" w:color="auto" w:sz="4" w:space="0"/>
        </w:pBdr>
        <w:rPr>
          <w:rFonts w:ascii="Times New Roman" w:hAnsi="Times New Roman" w:cs="Times New Roman"/>
          <w:lang w:val="en-GB"/>
        </w:rPr>
      </w:pPr>
      <w:r>
        <w:rPr>
          <w:rFonts w:ascii="Times New Roman" w:hAnsi="Times New Roman" w:cs="Times New Roman"/>
          <w:lang w:val="en-GB"/>
        </w:rPr>
        <w:t xml:space="preserve">Option 1: Relax the requirement accordingly to accommodate the timing change/drift, i.e. updating Tq, Tp, and/or the rate </w:t>
      </w:r>
    </w:p>
    <w:p>
      <w:pPr>
        <w:pStyle w:val="27"/>
        <w:numPr>
          <w:ilvl w:val="0"/>
          <w:numId w:val="0"/>
        </w:numPr>
        <w:pBdr>
          <w:top w:val="single" w:color="auto" w:sz="4" w:space="0"/>
          <w:left w:val="single" w:color="auto" w:sz="4" w:space="0"/>
          <w:bottom w:val="single" w:color="auto" w:sz="4" w:space="0"/>
          <w:right w:val="single" w:color="auto" w:sz="4" w:space="0"/>
        </w:pBdr>
        <w:spacing w:after="240"/>
        <w:rPr>
          <w:rFonts w:ascii="Times New Roman" w:hAnsi="Times New Roman" w:cs="Times New Roman"/>
          <w:lang w:val="en-GB"/>
        </w:rPr>
      </w:pPr>
      <w:r>
        <w:rPr>
          <w:rFonts w:ascii="Times New Roman" w:hAnsi="Times New Roman" w:cs="Times New Roman"/>
          <w:lang w:val="en-GB"/>
        </w:rPr>
        <w:t>Option 2: Change the definition of reference timing and keep the current requirement</w:t>
      </w:r>
    </w:p>
    <w:p>
      <w:pPr>
        <w:pStyle w:val="27"/>
        <w:numPr>
          <w:ilvl w:val="0"/>
          <w:numId w:val="0"/>
        </w:numPr>
        <w:pBdr>
          <w:top w:val="single" w:color="auto" w:sz="4" w:space="0"/>
          <w:left w:val="single" w:color="auto" w:sz="4" w:space="0"/>
          <w:bottom w:val="single" w:color="auto" w:sz="4" w:space="0"/>
          <w:right w:val="single" w:color="auto" w:sz="4" w:space="0"/>
        </w:pBdr>
        <w:spacing w:after="240"/>
        <w:rPr>
          <w:rFonts w:ascii="Times New Roman" w:hAnsi="Times New Roman" w:cs="Times New Roman"/>
          <w:lang w:val="en-GB"/>
        </w:rPr>
      </w:pPr>
    </w:p>
    <w:p>
      <w:pPr>
        <w:pStyle w:val="27"/>
        <w:numPr>
          <w:ilvl w:val="0"/>
          <w:numId w:val="7"/>
        </w:numPr>
        <w:pBdr>
          <w:top w:val="single" w:color="auto" w:sz="4" w:space="0"/>
          <w:left w:val="single" w:color="auto" w:sz="4" w:space="0"/>
          <w:bottom w:val="single" w:color="auto" w:sz="4" w:space="0"/>
          <w:right w:val="single" w:color="auto" w:sz="4" w:space="0"/>
        </w:pBdr>
        <w:spacing w:after="240"/>
        <w:ind w:firstLineChars="0"/>
        <w:rPr>
          <w:rFonts w:ascii="Times New Roman" w:hAnsi="Times New Roman" w:cs="Times New Roman"/>
          <w:color w:val="auto"/>
          <w:lang w:val="en-GB"/>
        </w:rPr>
      </w:pPr>
      <w:r>
        <w:rPr>
          <w:rFonts w:ascii="Times New Roman" w:hAnsi="Times New Roman" w:cs="Times New Roman"/>
          <w:lang w:val="en-GB"/>
        </w:rPr>
        <w:t>FFS w</w:t>
      </w:r>
      <w:r>
        <w:rPr>
          <w:rFonts w:hint="eastAsia" w:ascii="Times New Roman" w:hAnsi="Times New Roman" w:cs="Times New Roman"/>
          <w:lang w:val="en-GB"/>
        </w:rPr>
        <w:t>hether</w:t>
      </w:r>
      <w:r>
        <w:rPr>
          <w:rFonts w:ascii="Times New Roman" w:hAnsi="Times New Roman" w:cs="Times New Roman"/>
          <w:lang w:val="en-GB"/>
        </w:rPr>
        <w:t xml:space="preserve"> to</w:t>
      </w:r>
      <w:r>
        <w:rPr>
          <w:rFonts w:hint="eastAsia" w:ascii="Times New Roman" w:hAnsi="Times New Roman" w:cs="Times New Roman"/>
          <w:lang w:val="en-GB"/>
        </w:rPr>
        <w:t xml:space="preserve"> define different </w:t>
      </w:r>
      <w:r>
        <w:rPr>
          <w:rFonts w:ascii="Times New Roman" w:hAnsi="Times New Roman" w:cs="Times New Roman"/>
          <w:lang w:val="en-GB"/>
        </w:rPr>
        <w:t xml:space="preserve">gradual timing adjustment </w:t>
      </w:r>
      <w:r>
        <w:rPr>
          <w:rFonts w:hint="eastAsia" w:ascii="Times New Roman" w:hAnsi="Times New Roman" w:cs="Times New Roman"/>
          <w:lang w:val="en-GB"/>
        </w:rPr>
        <w:t>requirements for different NT</w:t>
      </w:r>
      <w:r>
        <w:rPr>
          <w:rFonts w:hint="eastAsia" w:ascii="Times New Roman" w:hAnsi="Times New Roman" w:cs="Times New Roman"/>
          <w:color w:val="auto"/>
          <w:lang w:val="en-GB"/>
        </w:rPr>
        <w:t xml:space="preserve">N </w:t>
      </w:r>
      <w:r>
        <w:rPr>
          <w:rFonts w:eastAsia="宋体"/>
          <w:color w:val="auto"/>
          <w:szCs w:val="24"/>
          <w:lang w:eastAsia="zh-CN"/>
        </w:rPr>
        <w:t>topologies</w:t>
      </w:r>
      <w:r>
        <w:rPr>
          <w:rFonts w:hint="eastAsia" w:ascii="Times New Roman" w:hAnsi="Times New Roman" w:cs="Times New Roman"/>
          <w:color w:val="auto"/>
          <w:lang w:val="en-GB"/>
        </w:rPr>
        <w:t xml:space="preserve"> e.g. GEO, MEO, LEO</w:t>
      </w:r>
      <w:r>
        <w:rPr>
          <w:rFonts w:ascii="Times New Roman" w:hAnsi="Times New Roman" w:cs="Times New Roman"/>
          <w:color w:val="auto"/>
          <w:lang w:val="en-GB"/>
        </w:rPr>
        <w:t>.</w:t>
      </w:r>
    </w:p>
    <w:p>
      <w:pPr>
        <w:rPr>
          <w:rFonts w:hint="eastAsia" w:eastAsia="宋体" w:cs="Times New Roman"/>
          <w:lang w:val="en-US" w:eastAsia="zh-CN"/>
        </w:rPr>
      </w:pPr>
      <w:r>
        <w:rPr>
          <w:rFonts w:hint="eastAsia" w:eastAsia="宋体" w:cs="Times New Roman"/>
          <w:color w:val="auto"/>
          <w:lang w:val="en-US" w:eastAsia="zh-CN"/>
        </w:rPr>
        <w:t xml:space="preserve">From the implementation point of view, the UE can work under </w:t>
      </w:r>
      <w:r>
        <w:rPr>
          <w:rFonts w:hint="eastAsia" w:eastAsia="宋体" w:cs="Times New Roman"/>
          <w:color w:val="auto"/>
          <w:lang w:val="en-GB" w:eastAsia="zh-CN"/>
        </w:rPr>
        <w:t>diffe</w:t>
      </w:r>
      <w:r>
        <w:rPr>
          <w:rFonts w:hint="eastAsia" w:ascii="Times New Roman" w:hAnsi="Times New Roman" w:cs="Times New Roman"/>
          <w:color w:val="auto"/>
          <w:lang w:val="en-GB"/>
        </w:rPr>
        <w:t xml:space="preserve">rent NTN </w:t>
      </w:r>
      <w:r>
        <w:rPr>
          <w:rFonts w:eastAsia="宋体"/>
          <w:color w:val="auto"/>
          <w:szCs w:val="24"/>
          <w:lang w:eastAsia="zh-CN"/>
        </w:rPr>
        <w:t>topologies</w:t>
      </w:r>
      <w:r>
        <w:rPr>
          <w:rFonts w:hint="eastAsia" w:eastAsia="宋体" w:cs="Times New Roman"/>
          <w:color w:val="auto"/>
          <w:lang w:val="en-US" w:eastAsia="zh-CN"/>
        </w:rPr>
        <w:t>. It</w:t>
      </w:r>
      <w:r>
        <w:rPr>
          <w:rFonts w:hint="default" w:eastAsia="宋体" w:cs="Times New Roman"/>
          <w:color w:val="auto"/>
          <w:lang w:val="en-US" w:eastAsia="zh-CN"/>
        </w:rPr>
        <w:t>’</w:t>
      </w:r>
      <w:r>
        <w:rPr>
          <w:rFonts w:hint="eastAsia" w:eastAsia="宋体" w:cs="Times New Roman"/>
          <w:color w:val="auto"/>
          <w:lang w:val="en-US" w:eastAsia="zh-CN"/>
        </w:rPr>
        <w:t xml:space="preserve">s reasonable to define unified </w:t>
      </w:r>
      <w:r>
        <w:rPr>
          <w:rFonts w:hint="default" w:eastAsia="宋体" w:cs="Times New Roman"/>
          <w:color w:val="auto"/>
          <w:lang w:val="en-US" w:eastAsia="zh-CN"/>
        </w:rPr>
        <w:t xml:space="preserve">gradual timing adjustment requirements for different NTN </w:t>
      </w:r>
      <w:r>
        <w:rPr>
          <w:rFonts w:eastAsia="宋体"/>
          <w:color w:val="auto"/>
          <w:szCs w:val="24"/>
          <w:lang w:eastAsia="zh-CN"/>
        </w:rPr>
        <w:t>topologies</w:t>
      </w:r>
      <w:r>
        <w:rPr>
          <w:rFonts w:hint="eastAsia" w:eastAsia="宋体" w:cs="Times New Roman"/>
          <w:color w:val="auto"/>
          <w:lang w:val="en-US" w:eastAsia="zh-CN"/>
        </w:rPr>
        <w:t xml:space="preserve">. For the </w:t>
      </w:r>
      <w:r>
        <w:rPr>
          <w:rFonts w:ascii="Times New Roman" w:hAnsi="Times New Roman" w:cs="Times New Roman"/>
          <w:color w:val="auto"/>
          <w:lang w:val="en-GB"/>
        </w:rPr>
        <w:t>principle for gr</w:t>
      </w:r>
      <w:r>
        <w:rPr>
          <w:rFonts w:ascii="Times New Roman" w:hAnsi="Times New Roman" w:cs="Times New Roman"/>
          <w:lang w:val="en-GB"/>
        </w:rPr>
        <w:t>adual timing adjustment requirement</w:t>
      </w:r>
      <w:r>
        <w:rPr>
          <w:rFonts w:hint="eastAsia" w:eastAsia="宋体" w:cs="Times New Roman"/>
          <w:lang w:val="en-US" w:eastAsia="zh-CN"/>
        </w:rPr>
        <w:t>, option 1 is supported.</w:t>
      </w:r>
    </w:p>
    <w:p>
      <w:pPr>
        <w:rPr>
          <w:rFonts w:hint="default" w:eastAsia="宋体" w:cs="Times New Roman"/>
          <w:b/>
          <w:bCs/>
          <w:color w:val="auto"/>
          <w:lang w:val="en-US" w:eastAsia="zh-CN"/>
        </w:rPr>
      </w:pPr>
      <w:r>
        <w:rPr>
          <w:rFonts w:hint="eastAsia" w:eastAsia="宋体" w:cs="Times New Roman"/>
          <w:b/>
          <w:bCs/>
          <w:color w:val="auto"/>
          <w:lang w:val="en-US" w:eastAsia="zh-CN"/>
        </w:rPr>
        <w:t>Pr</w:t>
      </w:r>
      <w:r>
        <w:rPr>
          <w:rFonts w:hint="eastAsia"/>
          <w:b/>
          <w:bCs/>
          <w:color w:val="auto"/>
          <w:lang w:val="en-US" w:eastAsia="zh-CN"/>
        </w:rPr>
        <w:t>oposal 4: It</w:t>
      </w:r>
      <w:r>
        <w:rPr>
          <w:rFonts w:hint="default"/>
          <w:b/>
          <w:bCs/>
          <w:color w:val="auto"/>
          <w:lang w:val="en-US" w:eastAsia="zh-CN"/>
        </w:rPr>
        <w:t>’</w:t>
      </w:r>
      <w:r>
        <w:rPr>
          <w:rFonts w:hint="eastAsia"/>
          <w:b/>
          <w:bCs/>
          <w:color w:val="auto"/>
          <w:lang w:val="en-US" w:eastAsia="zh-CN"/>
        </w:rPr>
        <w:t xml:space="preserve">s suggested to </w:t>
      </w:r>
      <w:r>
        <w:rPr>
          <w:rFonts w:hint="eastAsia" w:eastAsia="宋体" w:cs="Times New Roman"/>
          <w:b/>
          <w:bCs/>
          <w:color w:val="auto"/>
          <w:lang w:val="en-US" w:eastAsia="zh-CN"/>
        </w:rPr>
        <w:t xml:space="preserve">define unified </w:t>
      </w:r>
      <w:r>
        <w:rPr>
          <w:rFonts w:hint="default" w:eastAsia="宋体" w:cs="Times New Roman"/>
          <w:b/>
          <w:bCs/>
          <w:color w:val="auto"/>
          <w:lang w:val="en-US" w:eastAsia="zh-CN"/>
        </w:rPr>
        <w:t xml:space="preserve">gradual timing adjustment requirements for different NTN </w:t>
      </w:r>
      <w:r>
        <w:rPr>
          <w:rFonts w:eastAsia="宋体"/>
          <w:b/>
          <w:bCs/>
          <w:color w:val="auto"/>
          <w:szCs w:val="24"/>
          <w:lang w:eastAsia="zh-CN"/>
        </w:rPr>
        <w:t>topologies</w:t>
      </w:r>
      <w:r>
        <w:rPr>
          <w:rFonts w:hint="eastAsia" w:eastAsia="宋体" w:cs="Times New Roman"/>
          <w:b/>
          <w:bCs/>
          <w:color w:val="auto"/>
          <w:lang w:val="en-US" w:eastAsia="zh-CN"/>
        </w:rPr>
        <w:t>.</w:t>
      </w:r>
    </w:p>
    <w:p>
      <w:pPr>
        <w:pStyle w:val="29"/>
        <w:numPr>
          <w:ilvl w:val="0"/>
          <w:numId w:val="6"/>
        </w:numPr>
        <w:ind w:left="1134" w:leftChars="0" w:hanging="1134" w:firstLineChars="0"/>
        <w:jc w:val="both"/>
      </w:pPr>
      <w:r>
        <w:t>Conclusion</w:t>
      </w:r>
    </w:p>
    <w:p>
      <w:pPr>
        <w:overflowPunct w:val="0"/>
        <w:autoSpaceDE w:val="0"/>
        <w:autoSpaceDN w:val="0"/>
        <w:adjustRightInd w:val="0"/>
        <w:spacing w:after="120"/>
        <w:textAlignment w:val="baseline"/>
        <w:rPr>
          <w:rFonts w:hint="default"/>
          <w:b/>
          <w:bCs/>
          <w:lang w:val="en-US" w:eastAsia="zh-CN"/>
        </w:rPr>
      </w:pPr>
      <w:r>
        <w:rPr>
          <w:rFonts w:hint="eastAsia"/>
          <w:b/>
          <w:bCs/>
          <w:lang w:val="en-US" w:eastAsia="zh-CN"/>
        </w:rPr>
        <w:t xml:space="preserve">Proposal 1: </w:t>
      </w:r>
      <w:r>
        <w:rPr>
          <w:rFonts w:hint="eastAsia" w:eastAsia="宋体"/>
          <w:b/>
          <w:bCs/>
          <w:lang w:val="en-US" w:eastAsia="zh-CN"/>
        </w:rPr>
        <w:t>Interruption requirement of  SRS antenna port switching is defined based on slot level.</w:t>
      </w:r>
    </w:p>
    <w:p>
      <w:pPr>
        <w:overflowPunct w:val="0"/>
        <w:autoSpaceDE w:val="0"/>
        <w:autoSpaceDN w:val="0"/>
        <w:adjustRightInd w:val="0"/>
        <w:spacing w:after="120"/>
        <w:textAlignment w:val="baseline"/>
        <w:rPr>
          <w:rFonts w:hint="eastAsia"/>
          <w:b/>
          <w:bCs w:val="0"/>
          <w:lang w:val="en-US" w:eastAsia="zh-CN"/>
        </w:rPr>
      </w:pPr>
      <w:r>
        <w:rPr>
          <w:rFonts w:hint="eastAsia"/>
          <w:b/>
          <w:bCs/>
          <w:lang w:val="en-US" w:eastAsia="zh-CN"/>
        </w:rPr>
        <w:t>Proposal 2:</w:t>
      </w:r>
      <w:r>
        <w:rPr>
          <w:rFonts w:hint="eastAsia" w:eastAsia="宋体"/>
          <w:b/>
          <w:bCs/>
          <w:sz w:val="22"/>
          <w:szCs w:val="22"/>
          <w:lang w:val="en-US" w:eastAsia="zh-CN"/>
        </w:rPr>
        <w:t xml:space="preserve"> </w:t>
      </w:r>
      <w:r>
        <w:rPr>
          <w:rFonts w:hint="eastAsia"/>
          <w:b/>
          <w:bCs w:val="0"/>
          <w:lang w:val="en-US" w:eastAsia="zh-CN"/>
        </w:rPr>
        <w:t>Define interruption requirements for cases that have been defined by RAN1 and NR measurement.</w:t>
      </w:r>
    </w:p>
    <w:p>
      <w:pPr>
        <w:pStyle w:val="27"/>
        <w:numPr>
          <w:ilvl w:val="0"/>
          <w:numId w:val="0"/>
        </w:numPr>
        <w:pBdr>
          <w:top w:val="none" w:color="auto" w:sz="0" w:space="0"/>
          <w:left w:val="none" w:color="auto" w:sz="0" w:space="0"/>
          <w:bottom w:val="none" w:color="auto" w:sz="0" w:space="0"/>
          <w:right w:val="none" w:color="auto" w:sz="0" w:space="0"/>
        </w:pBdr>
        <w:spacing w:after="240"/>
        <w:ind w:left="0" w:leftChars="0"/>
        <w:rPr>
          <w:rFonts w:hint="eastAsia"/>
          <w:b/>
          <w:bCs/>
          <w:lang w:val="en-US" w:eastAsia="zh-CN"/>
        </w:rPr>
      </w:pPr>
      <w:r>
        <w:rPr>
          <w:rFonts w:hint="eastAsia" w:eastAsia="宋体" w:cs="Times New Roman"/>
          <w:b/>
          <w:bCs/>
          <w:lang w:val="en-US" w:eastAsia="zh-CN"/>
        </w:rPr>
        <w:t>Pr</w:t>
      </w:r>
      <w:r>
        <w:rPr>
          <w:rFonts w:hint="eastAsia"/>
          <w:b/>
          <w:bCs/>
          <w:lang w:val="en-US" w:eastAsia="zh-CN"/>
        </w:rPr>
        <w:t xml:space="preserve">oposal 3: During the validity duration of satellite ephemeris data, </w:t>
      </w:r>
      <w:r>
        <w:rPr>
          <w:rFonts w:hint="eastAsia"/>
          <w:b/>
          <w:bCs/>
          <w:lang w:val="en-GB" w:eastAsia="zh-CN"/>
        </w:rPr>
        <w:t>Te_SAT is the error from calculation model used by UE side</w:t>
      </w:r>
      <w:r>
        <w:rPr>
          <w:rFonts w:hint="eastAsia"/>
          <w:b/>
          <w:bCs/>
          <w:lang w:val="en-US" w:eastAsia="zh-CN"/>
        </w:rPr>
        <w:t>.</w:t>
      </w:r>
    </w:p>
    <w:p>
      <w:pPr>
        <w:rPr>
          <w:rFonts w:hint="default" w:eastAsia="宋体"/>
          <w:b/>
          <w:bCs/>
          <w:sz w:val="22"/>
          <w:lang w:val="en-US" w:eastAsia="zh-CN"/>
        </w:rPr>
      </w:pPr>
      <w:r>
        <w:rPr>
          <w:rFonts w:hint="eastAsia" w:eastAsia="宋体" w:cs="Times New Roman"/>
          <w:b/>
          <w:bCs/>
          <w:color w:val="auto"/>
          <w:lang w:val="en-US" w:eastAsia="zh-CN"/>
        </w:rPr>
        <w:t>Pr</w:t>
      </w:r>
      <w:r>
        <w:rPr>
          <w:rFonts w:hint="eastAsia"/>
          <w:b/>
          <w:bCs/>
          <w:color w:val="auto"/>
          <w:lang w:val="en-US" w:eastAsia="zh-CN"/>
        </w:rPr>
        <w:t>oposal 4: It</w:t>
      </w:r>
      <w:r>
        <w:rPr>
          <w:rFonts w:hint="default"/>
          <w:b/>
          <w:bCs/>
          <w:color w:val="auto"/>
          <w:lang w:val="en-US" w:eastAsia="zh-CN"/>
        </w:rPr>
        <w:t>’</w:t>
      </w:r>
      <w:r>
        <w:rPr>
          <w:rFonts w:hint="eastAsia"/>
          <w:b/>
          <w:bCs/>
          <w:color w:val="auto"/>
          <w:lang w:val="en-US" w:eastAsia="zh-CN"/>
        </w:rPr>
        <w:t xml:space="preserve">s suggested to </w:t>
      </w:r>
      <w:r>
        <w:rPr>
          <w:rFonts w:hint="eastAsia" w:eastAsia="宋体" w:cs="Times New Roman"/>
          <w:b/>
          <w:bCs/>
          <w:color w:val="auto"/>
          <w:lang w:val="en-US" w:eastAsia="zh-CN"/>
        </w:rPr>
        <w:t xml:space="preserve">define unified </w:t>
      </w:r>
      <w:r>
        <w:rPr>
          <w:rFonts w:hint="default" w:eastAsia="宋体" w:cs="Times New Roman"/>
          <w:b/>
          <w:bCs/>
          <w:color w:val="auto"/>
          <w:lang w:val="en-US" w:eastAsia="zh-CN"/>
        </w:rPr>
        <w:t xml:space="preserve">gradual timing adjustment requirements for different NTN </w:t>
      </w:r>
      <w:r>
        <w:rPr>
          <w:rFonts w:eastAsia="宋体"/>
          <w:b/>
          <w:bCs/>
          <w:color w:val="auto"/>
          <w:szCs w:val="24"/>
          <w:lang w:eastAsia="zh-CN"/>
        </w:rPr>
        <w:t>topologies</w:t>
      </w:r>
      <w:r>
        <w:rPr>
          <w:rFonts w:hint="eastAsia" w:eastAsia="宋体" w:cs="Times New Roman"/>
          <w:b/>
          <w:bCs/>
          <w:color w:val="auto"/>
          <w:lang w:val="en-US" w:eastAsia="zh-CN"/>
        </w:rPr>
        <w:t>.</w:t>
      </w:r>
    </w:p>
    <w:p>
      <w:pPr>
        <w:pStyle w:val="29"/>
        <w:jc w:val="both"/>
      </w:pPr>
      <w:r>
        <w:t>References</w:t>
      </w:r>
    </w:p>
    <w:p>
      <w:pPr>
        <w:numPr>
          <w:ilvl w:val="0"/>
          <w:numId w:val="9"/>
        </w:numPr>
        <w:overflowPunct w:val="0"/>
        <w:autoSpaceDE w:val="0"/>
        <w:autoSpaceDN w:val="0"/>
        <w:adjustRightInd w:val="0"/>
        <w:spacing w:after="120" w:line="240" w:lineRule="auto"/>
        <w:jc w:val="both"/>
        <w:textAlignment w:val="baseline"/>
        <w:rPr>
          <w:rFonts w:eastAsia="宋体"/>
          <w:lang w:eastAsia="zh-CN"/>
        </w:rPr>
      </w:pPr>
      <w:r>
        <w:rPr>
          <w:rFonts w:hint="eastAsia" w:eastAsia="宋体"/>
          <w:lang w:eastAsia="zh-CN"/>
        </w:rPr>
        <w:t>R4-21153</w:t>
      </w:r>
      <w:r>
        <w:rPr>
          <w:rFonts w:hint="eastAsia" w:eastAsia="宋体"/>
          <w:lang w:val="en-US" w:eastAsia="zh-CN"/>
        </w:rPr>
        <w:t>46,</w:t>
      </w:r>
      <w:r>
        <w:rPr>
          <w:rFonts w:hint="eastAsia" w:eastAsia="宋体"/>
          <w:lang w:eastAsia="zh-CN"/>
        </w:rPr>
        <w:t xml:space="preserve"> </w:t>
      </w:r>
      <w:r>
        <w:rPr>
          <w:rFonts w:hint="eastAsia" w:eastAsia="宋体"/>
          <w:lang w:val="en-GB" w:eastAsia="ko-KR"/>
        </w:rPr>
        <w:t>WF on GNSS-related and timing requirements for NR NTN</w:t>
      </w:r>
      <w:r>
        <w:rPr>
          <w:rFonts w:hint="eastAsia" w:eastAsia="宋体"/>
          <w:lang w:val="en-US" w:eastAsia="zh-CN"/>
        </w:rPr>
        <w:t>, Xiaomi</w:t>
      </w: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sectPr>
      <w:pgSz w:w="11907" w:h="16840"/>
      <w:pgMar w:top="1412" w:right="1140" w:bottom="1140" w:left="1140" w:header="680" w:footer="567"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0" type="#_x0000_t75" style="width:113px;height:75px" o:bullet="t">
        <v:imagedata r:id="rId1" o:title=""/>
      </v:shape>
    </w:pict>
  </w:numPicBullet>
  <w:abstractNum w:abstractNumId="0">
    <w:nsid w:val="9CEAE849"/>
    <w:multiLevelType w:val="singleLevel"/>
    <w:tmpl w:val="9CEAE849"/>
    <w:lvl w:ilvl="0" w:tentative="0">
      <w:start w:val="2"/>
      <w:numFmt w:val="decimal"/>
      <w:lvlText w:val="%1"/>
      <w:lvlJc w:val="left"/>
    </w:lvl>
  </w:abstractNum>
  <w:abstractNum w:abstractNumId="1">
    <w:nsid w:val="E1D5AA64"/>
    <w:multiLevelType w:val="singleLevel"/>
    <w:tmpl w:val="E1D5AA64"/>
    <w:lvl w:ilvl="0" w:tentative="0">
      <w:start w:val="1"/>
      <w:numFmt w:val="bullet"/>
      <w:lvlText w:val=""/>
      <w:lvlJc w:val="left"/>
      <w:pPr>
        <w:ind w:left="420" w:hanging="420"/>
      </w:pPr>
      <w:rPr>
        <w:rFonts w:hint="default" w:ascii="Wingdings" w:hAnsi="Wingdings"/>
      </w:rPr>
    </w:lvl>
  </w:abstractNum>
  <w:abstractNum w:abstractNumId="2">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628156B"/>
    <w:multiLevelType w:val="multilevel"/>
    <w:tmpl w:val="5628156B"/>
    <w:lvl w:ilvl="0" w:tentative="0">
      <w:start w:val="1"/>
      <w:numFmt w:val="bullet"/>
      <w:lvlText w:val=""/>
      <w:lvlPicBulletId w:val="0"/>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Symbol" w:hAnsi="Symbol"/>
      </w:rPr>
    </w:lvl>
    <w:lvl w:ilvl="3" w:tentative="0">
      <w:start w:val="0"/>
      <w:numFmt w:val="bullet"/>
      <w:lvlText w:val="–"/>
      <w:lvlJc w:val="left"/>
      <w:pPr>
        <w:ind w:left="1680" w:hanging="420"/>
      </w:pPr>
      <w:rPr>
        <w:rFonts w:hint="default" w:ascii="Arial" w:hAnsi="Arial"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3"/>
  </w:num>
  <w:num w:numId="2">
    <w:abstractNumId w:val="5"/>
  </w:num>
  <w:num w:numId="3">
    <w:abstractNumId w:val="4"/>
  </w:num>
  <w:num w:numId="4">
    <w:abstractNumId w:val="8"/>
  </w:num>
  <w:num w:numId="5">
    <w:abstractNumId w:val="6"/>
  </w:num>
  <w:num w:numId="6">
    <w:abstractNumId w:val="0"/>
  </w:num>
  <w:num w:numId="7">
    <w:abstractNumId w:val="7"/>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1F400C"/>
    <w:rsid w:val="00200081"/>
    <w:rsid w:val="002051FF"/>
    <w:rsid w:val="00206975"/>
    <w:rsid w:val="002079EF"/>
    <w:rsid w:val="002154C0"/>
    <w:rsid w:val="00224AD2"/>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1C63D2"/>
    <w:rsid w:val="01290358"/>
    <w:rsid w:val="014D65AB"/>
    <w:rsid w:val="016E368C"/>
    <w:rsid w:val="017B5E4B"/>
    <w:rsid w:val="018D054D"/>
    <w:rsid w:val="01D71285"/>
    <w:rsid w:val="01FF08B3"/>
    <w:rsid w:val="023B3319"/>
    <w:rsid w:val="025658B4"/>
    <w:rsid w:val="027E1394"/>
    <w:rsid w:val="0284242C"/>
    <w:rsid w:val="028676F2"/>
    <w:rsid w:val="02B274E2"/>
    <w:rsid w:val="02BD7990"/>
    <w:rsid w:val="02C25D33"/>
    <w:rsid w:val="030809EC"/>
    <w:rsid w:val="037B11F1"/>
    <w:rsid w:val="039A1BDA"/>
    <w:rsid w:val="03AE4991"/>
    <w:rsid w:val="03C6506D"/>
    <w:rsid w:val="03D75DAC"/>
    <w:rsid w:val="03F37217"/>
    <w:rsid w:val="04143A32"/>
    <w:rsid w:val="041F4676"/>
    <w:rsid w:val="04503821"/>
    <w:rsid w:val="047B40B2"/>
    <w:rsid w:val="04847088"/>
    <w:rsid w:val="0492565C"/>
    <w:rsid w:val="04C77D0A"/>
    <w:rsid w:val="04D5204C"/>
    <w:rsid w:val="050A0165"/>
    <w:rsid w:val="051F0641"/>
    <w:rsid w:val="059B61E4"/>
    <w:rsid w:val="05A86143"/>
    <w:rsid w:val="05AC7AEC"/>
    <w:rsid w:val="05D42FA6"/>
    <w:rsid w:val="06105DAC"/>
    <w:rsid w:val="066957D5"/>
    <w:rsid w:val="068A29F7"/>
    <w:rsid w:val="069766CC"/>
    <w:rsid w:val="07502CA2"/>
    <w:rsid w:val="078B76F8"/>
    <w:rsid w:val="079D410C"/>
    <w:rsid w:val="07C928A9"/>
    <w:rsid w:val="07D3429D"/>
    <w:rsid w:val="07D735D1"/>
    <w:rsid w:val="080A5373"/>
    <w:rsid w:val="085564A9"/>
    <w:rsid w:val="08641205"/>
    <w:rsid w:val="0868025F"/>
    <w:rsid w:val="0873226E"/>
    <w:rsid w:val="088E5343"/>
    <w:rsid w:val="08935729"/>
    <w:rsid w:val="08936C0D"/>
    <w:rsid w:val="08AF3F5E"/>
    <w:rsid w:val="08C654D4"/>
    <w:rsid w:val="08CC5D10"/>
    <w:rsid w:val="08DC0169"/>
    <w:rsid w:val="092C45E6"/>
    <w:rsid w:val="099F556C"/>
    <w:rsid w:val="09AC0546"/>
    <w:rsid w:val="09C640C3"/>
    <w:rsid w:val="09D13533"/>
    <w:rsid w:val="0A202869"/>
    <w:rsid w:val="0A2F63A3"/>
    <w:rsid w:val="0A5763D4"/>
    <w:rsid w:val="0A623873"/>
    <w:rsid w:val="0A7BF868"/>
    <w:rsid w:val="0A9573F8"/>
    <w:rsid w:val="0B206A21"/>
    <w:rsid w:val="0B6C6F78"/>
    <w:rsid w:val="0B7322DC"/>
    <w:rsid w:val="0B84721F"/>
    <w:rsid w:val="0BA7588D"/>
    <w:rsid w:val="0BB77882"/>
    <w:rsid w:val="0C102F73"/>
    <w:rsid w:val="0C2A1653"/>
    <w:rsid w:val="0C3145B0"/>
    <w:rsid w:val="0C3C5307"/>
    <w:rsid w:val="0C56263C"/>
    <w:rsid w:val="0C5E2B8A"/>
    <w:rsid w:val="0D102274"/>
    <w:rsid w:val="0D69107B"/>
    <w:rsid w:val="0D796541"/>
    <w:rsid w:val="0D9F7C29"/>
    <w:rsid w:val="0DA958CA"/>
    <w:rsid w:val="0DF104D3"/>
    <w:rsid w:val="0E1576FD"/>
    <w:rsid w:val="0E1C586B"/>
    <w:rsid w:val="0E5E051C"/>
    <w:rsid w:val="0E8A024B"/>
    <w:rsid w:val="0ED138E6"/>
    <w:rsid w:val="0F130B06"/>
    <w:rsid w:val="0F3856C4"/>
    <w:rsid w:val="0F4C5F28"/>
    <w:rsid w:val="0F4D7364"/>
    <w:rsid w:val="0F5003A5"/>
    <w:rsid w:val="0F67780F"/>
    <w:rsid w:val="0F8F3C2A"/>
    <w:rsid w:val="0F9F5663"/>
    <w:rsid w:val="0FB648CB"/>
    <w:rsid w:val="0FD0731A"/>
    <w:rsid w:val="0FF1533A"/>
    <w:rsid w:val="0FFB25FA"/>
    <w:rsid w:val="0FFE0AFA"/>
    <w:rsid w:val="1000683B"/>
    <w:rsid w:val="100525AD"/>
    <w:rsid w:val="101213A0"/>
    <w:rsid w:val="10732202"/>
    <w:rsid w:val="10860ED5"/>
    <w:rsid w:val="108F77B5"/>
    <w:rsid w:val="10A25064"/>
    <w:rsid w:val="10AA3C13"/>
    <w:rsid w:val="10CA41CF"/>
    <w:rsid w:val="10CD0B75"/>
    <w:rsid w:val="10D43D83"/>
    <w:rsid w:val="110C4D24"/>
    <w:rsid w:val="11283655"/>
    <w:rsid w:val="113B0066"/>
    <w:rsid w:val="114A4434"/>
    <w:rsid w:val="11650D79"/>
    <w:rsid w:val="11F71F3A"/>
    <w:rsid w:val="12021254"/>
    <w:rsid w:val="121A2A50"/>
    <w:rsid w:val="122017FC"/>
    <w:rsid w:val="12432F43"/>
    <w:rsid w:val="124B5A34"/>
    <w:rsid w:val="126A0B12"/>
    <w:rsid w:val="12753179"/>
    <w:rsid w:val="128409CA"/>
    <w:rsid w:val="12843280"/>
    <w:rsid w:val="128E74BA"/>
    <w:rsid w:val="12BB3A94"/>
    <w:rsid w:val="12EF585C"/>
    <w:rsid w:val="12FB3877"/>
    <w:rsid w:val="13262572"/>
    <w:rsid w:val="13516C3B"/>
    <w:rsid w:val="135A35EB"/>
    <w:rsid w:val="135B714A"/>
    <w:rsid w:val="136D11EC"/>
    <w:rsid w:val="137D50D6"/>
    <w:rsid w:val="138845FC"/>
    <w:rsid w:val="139B3B65"/>
    <w:rsid w:val="13A62830"/>
    <w:rsid w:val="13D36053"/>
    <w:rsid w:val="13F75352"/>
    <w:rsid w:val="13FA5349"/>
    <w:rsid w:val="141E7377"/>
    <w:rsid w:val="1480544B"/>
    <w:rsid w:val="148A292B"/>
    <w:rsid w:val="14922769"/>
    <w:rsid w:val="14A25B1A"/>
    <w:rsid w:val="14B36B91"/>
    <w:rsid w:val="14BF6AA8"/>
    <w:rsid w:val="14D9405F"/>
    <w:rsid w:val="14DE3D1B"/>
    <w:rsid w:val="14FA21D5"/>
    <w:rsid w:val="15DD3861"/>
    <w:rsid w:val="15EF1E61"/>
    <w:rsid w:val="16222725"/>
    <w:rsid w:val="162900B5"/>
    <w:rsid w:val="1634239A"/>
    <w:rsid w:val="16394032"/>
    <w:rsid w:val="164F667E"/>
    <w:rsid w:val="165D0583"/>
    <w:rsid w:val="16654289"/>
    <w:rsid w:val="16AE4BFB"/>
    <w:rsid w:val="16BA6C12"/>
    <w:rsid w:val="16CB37AF"/>
    <w:rsid w:val="16DB79C9"/>
    <w:rsid w:val="16E93B5B"/>
    <w:rsid w:val="16F55CC6"/>
    <w:rsid w:val="17141F2D"/>
    <w:rsid w:val="176F5C05"/>
    <w:rsid w:val="17705930"/>
    <w:rsid w:val="17A076C4"/>
    <w:rsid w:val="17A62BCE"/>
    <w:rsid w:val="17E12498"/>
    <w:rsid w:val="17E826AB"/>
    <w:rsid w:val="17F275CB"/>
    <w:rsid w:val="18407C50"/>
    <w:rsid w:val="1872258F"/>
    <w:rsid w:val="18D3414F"/>
    <w:rsid w:val="18D91924"/>
    <w:rsid w:val="19440C84"/>
    <w:rsid w:val="19831412"/>
    <w:rsid w:val="19A96435"/>
    <w:rsid w:val="19E43A3D"/>
    <w:rsid w:val="1A0B3A21"/>
    <w:rsid w:val="1A290039"/>
    <w:rsid w:val="1A352FE3"/>
    <w:rsid w:val="1A7F0493"/>
    <w:rsid w:val="1ABF3A0B"/>
    <w:rsid w:val="1AC158B0"/>
    <w:rsid w:val="1B3329B5"/>
    <w:rsid w:val="1B595D85"/>
    <w:rsid w:val="1B7F155B"/>
    <w:rsid w:val="1BAE2A00"/>
    <w:rsid w:val="1BF056DA"/>
    <w:rsid w:val="1C1B0DC7"/>
    <w:rsid w:val="1C5E2F54"/>
    <w:rsid w:val="1CA0799D"/>
    <w:rsid w:val="1CAE294B"/>
    <w:rsid w:val="1CDA242C"/>
    <w:rsid w:val="1CFB2AC1"/>
    <w:rsid w:val="1D1F1294"/>
    <w:rsid w:val="1D3C7064"/>
    <w:rsid w:val="1D85535E"/>
    <w:rsid w:val="1DB227A6"/>
    <w:rsid w:val="1DB41841"/>
    <w:rsid w:val="1DCF39D2"/>
    <w:rsid w:val="1DE45821"/>
    <w:rsid w:val="1DF005DE"/>
    <w:rsid w:val="1DF64986"/>
    <w:rsid w:val="1E5E1170"/>
    <w:rsid w:val="1E8806BC"/>
    <w:rsid w:val="1EA137E3"/>
    <w:rsid w:val="1EC97F44"/>
    <w:rsid w:val="1F0936F5"/>
    <w:rsid w:val="1F0D6CF5"/>
    <w:rsid w:val="1F17474D"/>
    <w:rsid w:val="1F2B10F9"/>
    <w:rsid w:val="1F606B52"/>
    <w:rsid w:val="1F711839"/>
    <w:rsid w:val="1F8429C2"/>
    <w:rsid w:val="1F8A172B"/>
    <w:rsid w:val="1FA564C4"/>
    <w:rsid w:val="200D067C"/>
    <w:rsid w:val="20811B82"/>
    <w:rsid w:val="2081439A"/>
    <w:rsid w:val="20941E02"/>
    <w:rsid w:val="20A662B2"/>
    <w:rsid w:val="21091739"/>
    <w:rsid w:val="211451D0"/>
    <w:rsid w:val="211B0B99"/>
    <w:rsid w:val="21402B64"/>
    <w:rsid w:val="2151075A"/>
    <w:rsid w:val="2187422D"/>
    <w:rsid w:val="219E74A3"/>
    <w:rsid w:val="22271C95"/>
    <w:rsid w:val="22450C21"/>
    <w:rsid w:val="22571B82"/>
    <w:rsid w:val="22843CEF"/>
    <w:rsid w:val="22915C95"/>
    <w:rsid w:val="22920D1D"/>
    <w:rsid w:val="22C0245E"/>
    <w:rsid w:val="22C9451A"/>
    <w:rsid w:val="22D22A99"/>
    <w:rsid w:val="22DF0545"/>
    <w:rsid w:val="23514077"/>
    <w:rsid w:val="23855295"/>
    <w:rsid w:val="23B20773"/>
    <w:rsid w:val="23CF6D67"/>
    <w:rsid w:val="23E92C0B"/>
    <w:rsid w:val="241F6375"/>
    <w:rsid w:val="248F188B"/>
    <w:rsid w:val="24BD0518"/>
    <w:rsid w:val="24E91488"/>
    <w:rsid w:val="25077EC5"/>
    <w:rsid w:val="256A021C"/>
    <w:rsid w:val="25962669"/>
    <w:rsid w:val="25C20278"/>
    <w:rsid w:val="25C545AD"/>
    <w:rsid w:val="262D62D9"/>
    <w:rsid w:val="26681CAB"/>
    <w:rsid w:val="267E5FCE"/>
    <w:rsid w:val="26895E91"/>
    <w:rsid w:val="26F16893"/>
    <w:rsid w:val="26F618C3"/>
    <w:rsid w:val="27016D1C"/>
    <w:rsid w:val="27203C79"/>
    <w:rsid w:val="27572E0B"/>
    <w:rsid w:val="2762235C"/>
    <w:rsid w:val="276537E8"/>
    <w:rsid w:val="276D7CAD"/>
    <w:rsid w:val="27BE3159"/>
    <w:rsid w:val="27F111B3"/>
    <w:rsid w:val="28062AB3"/>
    <w:rsid w:val="280C272A"/>
    <w:rsid w:val="281B6C69"/>
    <w:rsid w:val="284E33F7"/>
    <w:rsid w:val="28596ECF"/>
    <w:rsid w:val="28694AA6"/>
    <w:rsid w:val="287A3770"/>
    <w:rsid w:val="28A01911"/>
    <w:rsid w:val="28B52EA9"/>
    <w:rsid w:val="28C759BF"/>
    <w:rsid w:val="28D22F4D"/>
    <w:rsid w:val="29007BBA"/>
    <w:rsid w:val="290A138C"/>
    <w:rsid w:val="291A4010"/>
    <w:rsid w:val="293606FA"/>
    <w:rsid w:val="29517179"/>
    <w:rsid w:val="29582436"/>
    <w:rsid w:val="299935DB"/>
    <w:rsid w:val="29E7086A"/>
    <w:rsid w:val="2A0E25C0"/>
    <w:rsid w:val="2A1219AD"/>
    <w:rsid w:val="2A2024BB"/>
    <w:rsid w:val="2A394321"/>
    <w:rsid w:val="2A9276B2"/>
    <w:rsid w:val="2AAF72F6"/>
    <w:rsid w:val="2AE26D3F"/>
    <w:rsid w:val="2AF125AB"/>
    <w:rsid w:val="2AF80F96"/>
    <w:rsid w:val="2AF8774D"/>
    <w:rsid w:val="2AFC0752"/>
    <w:rsid w:val="2B0F6E62"/>
    <w:rsid w:val="2B1B7C39"/>
    <w:rsid w:val="2B3F4136"/>
    <w:rsid w:val="2B5F7B9D"/>
    <w:rsid w:val="2B6F3DB4"/>
    <w:rsid w:val="2B7579C5"/>
    <w:rsid w:val="2B976640"/>
    <w:rsid w:val="2BB04900"/>
    <w:rsid w:val="2BB1476B"/>
    <w:rsid w:val="2C005335"/>
    <w:rsid w:val="2C1B2490"/>
    <w:rsid w:val="2C3757DB"/>
    <w:rsid w:val="2C3A3275"/>
    <w:rsid w:val="2C495744"/>
    <w:rsid w:val="2C670E45"/>
    <w:rsid w:val="2CA40E82"/>
    <w:rsid w:val="2CC440BD"/>
    <w:rsid w:val="2CC92040"/>
    <w:rsid w:val="2CEE6B8D"/>
    <w:rsid w:val="2D233DAE"/>
    <w:rsid w:val="2D477866"/>
    <w:rsid w:val="2D8E403A"/>
    <w:rsid w:val="2DC51DB6"/>
    <w:rsid w:val="2DF9626C"/>
    <w:rsid w:val="2DFD7A78"/>
    <w:rsid w:val="2DFF21A9"/>
    <w:rsid w:val="2E145F76"/>
    <w:rsid w:val="2E290BCC"/>
    <w:rsid w:val="2E3E3E00"/>
    <w:rsid w:val="2E8501BE"/>
    <w:rsid w:val="2EA86D09"/>
    <w:rsid w:val="2ECE747D"/>
    <w:rsid w:val="2EEF5D7A"/>
    <w:rsid w:val="2EFD78DE"/>
    <w:rsid w:val="2F32226B"/>
    <w:rsid w:val="2F376D10"/>
    <w:rsid w:val="2FA231C5"/>
    <w:rsid w:val="30266CFB"/>
    <w:rsid w:val="30775A8C"/>
    <w:rsid w:val="308B65F2"/>
    <w:rsid w:val="30A9337F"/>
    <w:rsid w:val="30F5782F"/>
    <w:rsid w:val="30F66636"/>
    <w:rsid w:val="3117229F"/>
    <w:rsid w:val="31395268"/>
    <w:rsid w:val="316D08AD"/>
    <w:rsid w:val="31703761"/>
    <w:rsid w:val="3197247E"/>
    <w:rsid w:val="31A50177"/>
    <w:rsid w:val="31DD775A"/>
    <w:rsid w:val="31ED10C9"/>
    <w:rsid w:val="32037BA2"/>
    <w:rsid w:val="320D41D6"/>
    <w:rsid w:val="320F0A18"/>
    <w:rsid w:val="32351CB2"/>
    <w:rsid w:val="324554E5"/>
    <w:rsid w:val="325D2B5A"/>
    <w:rsid w:val="327661FC"/>
    <w:rsid w:val="32787E64"/>
    <w:rsid w:val="32B33B5A"/>
    <w:rsid w:val="32E16FE7"/>
    <w:rsid w:val="32EE27B2"/>
    <w:rsid w:val="33372789"/>
    <w:rsid w:val="33373161"/>
    <w:rsid w:val="333876C2"/>
    <w:rsid w:val="3346302E"/>
    <w:rsid w:val="33484A1E"/>
    <w:rsid w:val="335F47E9"/>
    <w:rsid w:val="33672754"/>
    <w:rsid w:val="338A45A7"/>
    <w:rsid w:val="33AE46D6"/>
    <w:rsid w:val="33FB17D8"/>
    <w:rsid w:val="340D027E"/>
    <w:rsid w:val="34693A6E"/>
    <w:rsid w:val="346E4104"/>
    <w:rsid w:val="3476470C"/>
    <w:rsid w:val="34916E93"/>
    <w:rsid w:val="34B85E11"/>
    <w:rsid w:val="34D83C16"/>
    <w:rsid w:val="34F42A3D"/>
    <w:rsid w:val="3509315E"/>
    <w:rsid w:val="351A4CC6"/>
    <w:rsid w:val="356B24AB"/>
    <w:rsid w:val="35AE299B"/>
    <w:rsid w:val="35C620C0"/>
    <w:rsid w:val="35CA47C2"/>
    <w:rsid w:val="371440A5"/>
    <w:rsid w:val="37705F34"/>
    <w:rsid w:val="377700B0"/>
    <w:rsid w:val="37857872"/>
    <w:rsid w:val="379C48BE"/>
    <w:rsid w:val="37AF7036"/>
    <w:rsid w:val="380927B5"/>
    <w:rsid w:val="381F0B0E"/>
    <w:rsid w:val="382139EC"/>
    <w:rsid w:val="3876150B"/>
    <w:rsid w:val="38D03C78"/>
    <w:rsid w:val="38EF03A6"/>
    <w:rsid w:val="38F0125F"/>
    <w:rsid w:val="3900577A"/>
    <w:rsid w:val="39202018"/>
    <w:rsid w:val="392739EA"/>
    <w:rsid w:val="392D38AD"/>
    <w:rsid w:val="3946679B"/>
    <w:rsid w:val="394D1646"/>
    <w:rsid w:val="399A43EA"/>
    <w:rsid w:val="3A0F1960"/>
    <w:rsid w:val="3A135535"/>
    <w:rsid w:val="3A166029"/>
    <w:rsid w:val="3A431070"/>
    <w:rsid w:val="3A6B6F88"/>
    <w:rsid w:val="3A841F11"/>
    <w:rsid w:val="3A977F34"/>
    <w:rsid w:val="3AC125B3"/>
    <w:rsid w:val="3AF216E5"/>
    <w:rsid w:val="3B0B15C3"/>
    <w:rsid w:val="3B0F2999"/>
    <w:rsid w:val="3B30671A"/>
    <w:rsid w:val="3B5555F7"/>
    <w:rsid w:val="3B5662AC"/>
    <w:rsid w:val="3B981241"/>
    <w:rsid w:val="3BBB2E68"/>
    <w:rsid w:val="3BD120B9"/>
    <w:rsid w:val="3C0B0D05"/>
    <w:rsid w:val="3C1B10BF"/>
    <w:rsid w:val="3C8823DF"/>
    <w:rsid w:val="3C9D0254"/>
    <w:rsid w:val="3C9F5B7F"/>
    <w:rsid w:val="3CA22406"/>
    <w:rsid w:val="3CB0535E"/>
    <w:rsid w:val="3CC5729E"/>
    <w:rsid w:val="3CCE203C"/>
    <w:rsid w:val="3CD96C18"/>
    <w:rsid w:val="3CDC3348"/>
    <w:rsid w:val="3CFD1CA4"/>
    <w:rsid w:val="3D042BD7"/>
    <w:rsid w:val="3D087EC6"/>
    <w:rsid w:val="3D0C1655"/>
    <w:rsid w:val="3D4E48C8"/>
    <w:rsid w:val="3D50421B"/>
    <w:rsid w:val="3D77737D"/>
    <w:rsid w:val="3D807C08"/>
    <w:rsid w:val="3DBF5349"/>
    <w:rsid w:val="3DC04E13"/>
    <w:rsid w:val="3DCC0A6F"/>
    <w:rsid w:val="3DD244E7"/>
    <w:rsid w:val="3E132617"/>
    <w:rsid w:val="3E1747FA"/>
    <w:rsid w:val="3E2E7EE8"/>
    <w:rsid w:val="3E5B41D6"/>
    <w:rsid w:val="3E964B98"/>
    <w:rsid w:val="3EAD26A1"/>
    <w:rsid w:val="3ECE16FA"/>
    <w:rsid w:val="3F322D0C"/>
    <w:rsid w:val="3F3542FD"/>
    <w:rsid w:val="3F4118C8"/>
    <w:rsid w:val="3F5C676A"/>
    <w:rsid w:val="3F651AFB"/>
    <w:rsid w:val="3FAF1ED1"/>
    <w:rsid w:val="3FF55768"/>
    <w:rsid w:val="40093B4F"/>
    <w:rsid w:val="40350A49"/>
    <w:rsid w:val="40460408"/>
    <w:rsid w:val="40462AC9"/>
    <w:rsid w:val="405313A9"/>
    <w:rsid w:val="40566CBF"/>
    <w:rsid w:val="40662F6F"/>
    <w:rsid w:val="40776BAF"/>
    <w:rsid w:val="407921CE"/>
    <w:rsid w:val="40C04FE0"/>
    <w:rsid w:val="414704BC"/>
    <w:rsid w:val="418530B3"/>
    <w:rsid w:val="41AA7137"/>
    <w:rsid w:val="41CB7B05"/>
    <w:rsid w:val="41EC58FB"/>
    <w:rsid w:val="41F931F1"/>
    <w:rsid w:val="42157286"/>
    <w:rsid w:val="422A484C"/>
    <w:rsid w:val="422A51CF"/>
    <w:rsid w:val="4231331F"/>
    <w:rsid w:val="42381A71"/>
    <w:rsid w:val="426B0C9E"/>
    <w:rsid w:val="42841694"/>
    <w:rsid w:val="429266C7"/>
    <w:rsid w:val="42AA49AA"/>
    <w:rsid w:val="42AF1322"/>
    <w:rsid w:val="42B30ACF"/>
    <w:rsid w:val="42D25CAE"/>
    <w:rsid w:val="42E73C10"/>
    <w:rsid w:val="43364422"/>
    <w:rsid w:val="434F28CD"/>
    <w:rsid w:val="43536857"/>
    <w:rsid w:val="43AA33DE"/>
    <w:rsid w:val="43BB7215"/>
    <w:rsid w:val="43BC4F26"/>
    <w:rsid w:val="43EE582E"/>
    <w:rsid w:val="43FB3DA4"/>
    <w:rsid w:val="441C4006"/>
    <w:rsid w:val="44330E9F"/>
    <w:rsid w:val="44752C18"/>
    <w:rsid w:val="449E489D"/>
    <w:rsid w:val="44B24294"/>
    <w:rsid w:val="44CF520F"/>
    <w:rsid w:val="44D50483"/>
    <w:rsid w:val="451019FB"/>
    <w:rsid w:val="451B2715"/>
    <w:rsid w:val="45361837"/>
    <w:rsid w:val="4543370D"/>
    <w:rsid w:val="454F62D8"/>
    <w:rsid w:val="455B13AC"/>
    <w:rsid w:val="45CF3CD0"/>
    <w:rsid w:val="45F6393A"/>
    <w:rsid w:val="46037BDC"/>
    <w:rsid w:val="460567D8"/>
    <w:rsid w:val="4626023B"/>
    <w:rsid w:val="462F25DF"/>
    <w:rsid w:val="46620161"/>
    <w:rsid w:val="46C17C69"/>
    <w:rsid w:val="46E63986"/>
    <w:rsid w:val="46FC7DAE"/>
    <w:rsid w:val="470463F8"/>
    <w:rsid w:val="472F00D3"/>
    <w:rsid w:val="475A31AD"/>
    <w:rsid w:val="47971B97"/>
    <w:rsid w:val="479A4E4A"/>
    <w:rsid w:val="479F63EE"/>
    <w:rsid w:val="47C304FD"/>
    <w:rsid w:val="47C357A6"/>
    <w:rsid w:val="47D77F02"/>
    <w:rsid w:val="4815186D"/>
    <w:rsid w:val="481C0488"/>
    <w:rsid w:val="481C4CBC"/>
    <w:rsid w:val="485A4BA7"/>
    <w:rsid w:val="487C3875"/>
    <w:rsid w:val="48977283"/>
    <w:rsid w:val="48A90F1E"/>
    <w:rsid w:val="48DE3EAB"/>
    <w:rsid w:val="48FA3778"/>
    <w:rsid w:val="490A690E"/>
    <w:rsid w:val="4975258C"/>
    <w:rsid w:val="49896512"/>
    <w:rsid w:val="4996414B"/>
    <w:rsid w:val="49987D21"/>
    <w:rsid w:val="49BA3D71"/>
    <w:rsid w:val="49CC5B3C"/>
    <w:rsid w:val="49DB51FA"/>
    <w:rsid w:val="49FD54E4"/>
    <w:rsid w:val="4A3011C6"/>
    <w:rsid w:val="4A5C70F1"/>
    <w:rsid w:val="4AAD275D"/>
    <w:rsid w:val="4AAD3440"/>
    <w:rsid w:val="4AB61A05"/>
    <w:rsid w:val="4AF26B9D"/>
    <w:rsid w:val="4AF44055"/>
    <w:rsid w:val="4B2748C6"/>
    <w:rsid w:val="4B2B1C31"/>
    <w:rsid w:val="4B48494A"/>
    <w:rsid w:val="4B7E5274"/>
    <w:rsid w:val="4BB65435"/>
    <w:rsid w:val="4BCE1489"/>
    <w:rsid w:val="4BCE28BF"/>
    <w:rsid w:val="4BD60E9C"/>
    <w:rsid w:val="4BEA1EE4"/>
    <w:rsid w:val="4BEE4C69"/>
    <w:rsid w:val="4BF830BC"/>
    <w:rsid w:val="4C293566"/>
    <w:rsid w:val="4C2C1C2C"/>
    <w:rsid w:val="4C4E4313"/>
    <w:rsid w:val="4C553BEB"/>
    <w:rsid w:val="4C663381"/>
    <w:rsid w:val="4C723787"/>
    <w:rsid w:val="4C783FE1"/>
    <w:rsid w:val="4CF05EAC"/>
    <w:rsid w:val="4D102CB4"/>
    <w:rsid w:val="4D496F28"/>
    <w:rsid w:val="4D7636CB"/>
    <w:rsid w:val="4D770B60"/>
    <w:rsid w:val="4D9E609E"/>
    <w:rsid w:val="4E0243C8"/>
    <w:rsid w:val="4E173831"/>
    <w:rsid w:val="4E345636"/>
    <w:rsid w:val="4E652C5C"/>
    <w:rsid w:val="4E9105E7"/>
    <w:rsid w:val="4EB053BD"/>
    <w:rsid w:val="4ED84E86"/>
    <w:rsid w:val="4FBC6FAF"/>
    <w:rsid w:val="4FDC68F3"/>
    <w:rsid w:val="4FE74185"/>
    <w:rsid w:val="4FFF46BE"/>
    <w:rsid w:val="50005DA1"/>
    <w:rsid w:val="502B14BE"/>
    <w:rsid w:val="5041435B"/>
    <w:rsid w:val="50564CCA"/>
    <w:rsid w:val="505A1CB0"/>
    <w:rsid w:val="5090049B"/>
    <w:rsid w:val="509778C7"/>
    <w:rsid w:val="5170523B"/>
    <w:rsid w:val="51773E2A"/>
    <w:rsid w:val="519A116B"/>
    <w:rsid w:val="51A40397"/>
    <w:rsid w:val="51A74F81"/>
    <w:rsid w:val="51C53170"/>
    <w:rsid w:val="5236412D"/>
    <w:rsid w:val="524370D4"/>
    <w:rsid w:val="526137D1"/>
    <w:rsid w:val="5280421D"/>
    <w:rsid w:val="52BF27F0"/>
    <w:rsid w:val="52DE7B77"/>
    <w:rsid w:val="52E96C13"/>
    <w:rsid w:val="530F6914"/>
    <w:rsid w:val="531A5811"/>
    <w:rsid w:val="535E62F0"/>
    <w:rsid w:val="5361709F"/>
    <w:rsid w:val="53705401"/>
    <w:rsid w:val="537509F0"/>
    <w:rsid w:val="53752E8D"/>
    <w:rsid w:val="53832E83"/>
    <w:rsid w:val="53A24A91"/>
    <w:rsid w:val="53AA30EC"/>
    <w:rsid w:val="53C60E3E"/>
    <w:rsid w:val="53D005D1"/>
    <w:rsid w:val="540D782C"/>
    <w:rsid w:val="542F1421"/>
    <w:rsid w:val="54342D0E"/>
    <w:rsid w:val="543973F0"/>
    <w:rsid w:val="543B3AF3"/>
    <w:rsid w:val="544B51D2"/>
    <w:rsid w:val="544C3285"/>
    <w:rsid w:val="546C32BA"/>
    <w:rsid w:val="547733F4"/>
    <w:rsid w:val="54B156BA"/>
    <w:rsid w:val="54F516DC"/>
    <w:rsid w:val="550D4DCC"/>
    <w:rsid w:val="550D509F"/>
    <w:rsid w:val="55187C2D"/>
    <w:rsid w:val="551F51F5"/>
    <w:rsid w:val="5553143F"/>
    <w:rsid w:val="55B42DC5"/>
    <w:rsid w:val="55B760AB"/>
    <w:rsid w:val="55C82763"/>
    <w:rsid w:val="55CE50F9"/>
    <w:rsid w:val="56063D06"/>
    <w:rsid w:val="560921FF"/>
    <w:rsid w:val="561E43E8"/>
    <w:rsid w:val="56243301"/>
    <w:rsid w:val="562F5C39"/>
    <w:rsid w:val="566D79F4"/>
    <w:rsid w:val="567B20DA"/>
    <w:rsid w:val="56943FE8"/>
    <w:rsid w:val="56C335E3"/>
    <w:rsid w:val="56C579EB"/>
    <w:rsid w:val="56DA5A5F"/>
    <w:rsid w:val="57563E7B"/>
    <w:rsid w:val="57600E00"/>
    <w:rsid w:val="577E3F1D"/>
    <w:rsid w:val="57C70008"/>
    <w:rsid w:val="58270690"/>
    <w:rsid w:val="586B2608"/>
    <w:rsid w:val="5879595C"/>
    <w:rsid w:val="588331BE"/>
    <w:rsid w:val="588403CE"/>
    <w:rsid w:val="58D16F7B"/>
    <w:rsid w:val="58D748F7"/>
    <w:rsid w:val="592D287D"/>
    <w:rsid w:val="592D7AE2"/>
    <w:rsid w:val="593554F0"/>
    <w:rsid w:val="59BA5947"/>
    <w:rsid w:val="59F967B7"/>
    <w:rsid w:val="5A194DBF"/>
    <w:rsid w:val="5A3078C5"/>
    <w:rsid w:val="5A7A4DB9"/>
    <w:rsid w:val="5AA277F3"/>
    <w:rsid w:val="5AC16AE9"/>
    <w:rsid w:val="5ADF3A74"/>
    <w:rsid w:val="5AE53367"/>
    <w:rsid w:val="5B0B0083"/>
    <w:rsid w:val="5B0B32DD"/>
    <w:rsid w:val="5B1254E6"/>
    <w:rsid w:val="5B29374D"/>
    <w:rsid w:val="5B8C4C7C"/>
    <w:rsid w:val="5BA65A0C"/>
    <w:rsid w:val="5BB2174D"/>
    <w:rsid w:val="5BC3228B"/>
    <w:rsid w:val="5BF571B7"/>
    <w:rsid w:val="5BFC28DA"/>
    <w:rsid w:val="5C3B1FEA"/>
    <w:rsid w:val="5C6A01BF"/>
    <w:rsid w:val="5C70174F"/>
    <w:rsid w:val="5C792CC0"/>
    <w:rsid w:val="5CAF3024"/>
    <w:rsid w:val="5CEB6783"/>
    <w:rsid w:val="5D041ECD"/>
    <w:rsid w:val="5D5E1AC8"/>
    <w:rsid w:val="5D8276D8"/>
    <w:rsid w:val="5E051414"/>
    <w:rsid w:val="5E206741"/>
    <w:rsid w:val="5E2D4C21"/>
    <w:rsid w:val="5E4B0A76"/>
    <w:rsid w:val="5E820037"/>
    <w:rsid w:val="5E8F2A9F"/>
    <w:rsid w:val="5E9A188D"/>
    <w:rsid w:val="5EE41E2E"/>
    <w:rsid w:val="5F0F00DA"/>
    <w:rsid w:val="5F3B32F7"/>
    <w:rsid w:val="5F9F42F8"/>
    <w:rsid w:val="5FBC07EC"/>
    <w:rsid w:val="5FFF02E1"/>
    <w:rsid w:val="60017F85"/>
    <w:rsid w:val="60032276"/>
    <w:rsid w:val="600C3AE0"/>
    <w:rsid w:val="6045086B"/>
    <w:rsid w:val="60523595"/>
    <w:rsid w:val="607356CF"/>
    <w:rsid w:val="60745B63"/>
    <w:rsid w:val="60AC01F6"/>
    <w:rsid w:val="60BC1BBF"/>
    <w:rsid w:val="60E50451"/>
    <w:rsid w:val="60F55882"/>
    <w:rsid w:val="60F64A32"/>
    <w:rsid w:val="61051332"/>
    <w:rsid w:val="6134798D"/>
    <w:rsid w:val="616A21E7"/>
    <w:rsid w:val="61856B0D"/>
    <w:rsid w:val="61B601DF"/>
    <w:rsid w:val="623928B9"/>
    <w:rsid w:val="62812953"/>
    <w:rsid w:val="62B7743E"/>
    <w:rsid w:val="62B8352F"/>
    <w:rsid w:val="62BB48DA"/>
    <w:rsid w:val="62DD3C86"/>
    <w:rsid w:val="62EF63FA"/>
    <w:rsid w:val="62FA23A0"/>
    <w:rsid w:val="63061571"/>
    <w:rsid w:val="632B39DC"/>
    <w:rsid w:val="637C0BD6"/>
    <w:rsid w:val="639D47D1"/>
    <w:rsid w:val="63C84437"/>
    <w:rsid w:val="63E21A62"/>
    <w:rsid w:val="64116858"/>
    <w:rsid w:val="642B0065"/>
    <w:rsid w:val="64310139"/>
    <w:rsid w:val="64550D9E"/>
    <w:rsid w:val="646311BF"/>
    <w:rsid w:val="648727EC"/>
    <w:rsid w:val="648D5222"/>
    <w:rsid w:val="649D0CB0"/>
    <w:rsid w:val="64B2258D"/>
    <w:rsid w:val="64DE359C"/>
    <w:rsid w:val="64E30C9E"/>
    <w:rsid w:val="64E86D2F"/>
    <w:rsid w:val="657C25FC"/>
    <w:rsid w:val="65997784"/>
    <w:rsid w:val="65A976E6"/>
    <w:rsid w:val="65C64C37"/>
    <w:rsid w:val="65D01190"/>
    <w:rsid w:val="66197BB5"/>
    <w:rsid w:val="66937BBB"/>
    <w:rsid w:val="66AB371C"/>
    <w:rsid w:val="66AE1192"/>
    <w:rsid w:val="66CA69C3"/>
    <w:rsid w:val="6749368B"/>
    <w:rsid w:val="67594DFB"/>
    <w:rsid w:val="6794708A"/>
    <w:rsid w:val="67A54A1A"/>
    <w:rsid w:val="67CE0CE2"/>
    <w:rsid w:val="67DA4215"/>
    <w:rsid w:val="67E42DFA"/>
    <w:rsid w:val="67ED44CB"/>
    <w:rsid w:val="681D58BA"/>
    <w:rsid w:val="6833352E"/>
    <w:rsid w:val="686A6ECC"/>
    <w:rsid w:val="68946F88"/>
    <w:rsid w:val="68EB3ADC"/>
    <w:rsid w:val="69240005"/>
    <w:rsid w:val="69462386"/>
    <w:rsid w:val="694C2162"/>
    <w:rsid w:val="697206C8"/>
    <w:rsid w:val="698624ED"/>
    <w:rsid w:val="69C96ADD"/>
    <w:rsid w:val="69DC5A3B"/>
    <w:rsid w:val="69E50464"/>
    <w:rsid w:val="69F94050"/>
    <w:rsid w:val="6A12713E"/>
    <w:rsid w:val="6A2F06BE"/>
    <w:rsid w:val="6A575201"/>
    <w:rsid w:val="6A7016FE"/>
    <w:rsid w:val="6AFC6812"/>
    <w:rsid w:val="6B017ECC"/>
    <w:rsid w:val="6B5E2EC6"/>
    <w:rsid w:val="6B7575DB"/>
    <w:rsid w:val="6C42065A"/>
    <w:rsid w:val="6C6F44FD"/>
    <w:rsid w:val="6C8C6D07"/>
    <w:rsid w:val="6C9E7796"/>
    <w:rsid w:val="6CB759F8"/>
    <w:rsid w:val="6CD4731D"/>
    <w:rsid w:val="6D121910"/>
    <w:rsid w:val="6D1B4473"/>
    <w:rsid w:val="6D3205F0"/>
    <w:rsid w:val="6D3A2BB0"/>
    <w:rsid w:val="6D4C048E"/>
    <w:rsid w:val="6D5C5991"/>
    <w:rsid w:val="6D681BA3"/>
    <w:rsid w:val="6D862B60"/>
    <w:rsid w:val="6DB702B4"/>
    <w:rsid w:val="6DB9368E"/>
    <w:rsid w:val="6E2A7F0A"/>
    <w:rsid w:val="6E4462CC"/>
    <w:rsid w:val="6E500ECF"/>
    <w:rsid w:val="6E504618"/>
    <w:rsid w:val="6E840F42"/>
    <w:rsid w:val="6EB20078"/>
    <w:rsid w:val="6EB70A1D"/>
    <w:rsid w:val="6EF40481"/>
    <w:rsid w:val="6F450F4D"/>
    <w:rsid w:val="6F5579D7"/>
    <w:rsid w:val="6F801AF8"/>
    <w:rsid w:val="6F8D5AAE"/>
    <w:rsid w:val="6F9C4786"/>
    <w:rsid w:val="6FB57303"/>
    <w:rsid w:val="6FB7010B"/>
    <w:rsid w:val="6FDF3B3C"/>
    <w:rsid w:val="6FFF59CB"/>
    <w:rsid w:val="70160759"/>
    <w:rsid w:val="70200B37"/>
    <w:rsid w:val="7037013D"/>
    <w:rsid w:val="704E4A67"/>
    <w:rsid w:val="70995673"/>
    <w:rsid w:val="70AA0AC2"/>
    <w:rsid w:val="70AA24EA"/>
    <w:rsid w:val="70B97CE8"/>
    <w:rsid w:val="70D46C56"/>
    <w:rsid w:val="70EA7511"/>
    <w:rsid w:val="71143E21"/>
    <w:rsid w:val="7150640B"/>
    <w:rsid w:val="71616F10"/>
    <w:rsid w:val="71C77CDA"/>
    <w:rsid w:val="71C93578"/>
    <w:rsid w:val="72042857"/>
    <w:rsid w:val="723D02FA"/>
    <w:rsid w:val="72867A39"/>
    <w:rsid w:val="72C14D7E"/>
    <w:rsid w:val="72E532C0"/>
    <w:rsid w:val="72EE3608"/>
    <w:rsid w:val="72F37E30"/>
    <w:rsid w:val="7318185D"/>
    <w:rsid w:val="7322549D"/>
    <w:rsid w:val="7327462F"/>
    <w:rsid w:val="732F59FD"/>
    <w:rsid w:val="734B5574"/>
    <w:rsid w:val="7355417D"/>
    <w:rsid w:val="736C3FBB"/>
    <w:rsid w:val="73821201"/>
    <w:rsid w:val="73832905"/>
    <w:rsid w:val="739F768E"/>
    <w:rsid w:val="73A75983"/>
    <w:rsid w:val="73A85DC8"/>
    <w:rsid w:val="73C54686"/>
    <w:rsid w:val="73D14742"/>
    <w:rsid w:val="73E217DB"/>
    <w:rsid w:val="73ED43C1"/>
    <w:rsid w:val="73FB25F2"/>
    <w:rsid w:val="740F6E24"/>
    <w:rsid w:val="741866C3"/>
    <w:rsid w:val="741D30D0"/>
    <w:rsid w:val="74285611"/>
    <w:rsid w:val="7430057A"/>
    <w:rsid w:val="7451673A"/>
    <w:rsid w:val="74573DE9"/>
    <w:rsid w:val="74626087"/>
    <w:rsid w:val="747F0795"/>
    <w:rsid w:val="749D37F7"/>
    <w:rsid w:val="74BC6C8B"/>
    <w:rsid w:val="74D53B99"/>
    <w:rsid w:val="754C1AAF"/>
    <w:rsid w:val="762B3711"/>
    <w:rsid w:val="76696B17"/>
    <w:rsid w:val="76696D01"/>
    <w:rsid w:val="767A6966"/>
    <w:rsid w:val="76991F3B"/>
    <w:rsid w:val="76BD4E1F"/>
    <w:rsid w:val="76D8737F"/>
    <w:rsid w:val="76E279D7"/>
    <w:rsid w:val="76FC2715"/>
    <w:rsid w:val="7718204C"/>
    <w:rsid w:val="772E0626"/>
    <w:rsid w:val="773C458F"/>
    <w:rsid w:val="7752184A"/>
    <w:rsid w:val="7754709D"/>
    <w:rsid w:val="776821D3"/>
    <w:rsid w:val="776E285A"/>
    <w:rsid w:val="77B02D8D"/>
    <w:rsid w:val="77B23404"/>
    <w:rsid w:val="77C0093D"/>
    <w:rsid w:val="77C90B9C"/>
    <w:rsid w:val="77DB4D3A"/>
    <w:rsid w:val="77ED7796"/>
    <w:rsid w:val="77EF22D8"/>
    <w:rsid w:val="7811438D"/>
    <w:rsid w:val="78204380"/>
    <w:rsid w:val="78384CBC"/>
    <w:rsid w:val="784258BF"/>
    <w:rsid w:val="7862008E"/>
    <w:rsid w:val="78723138"/>
    <w:rsid w:val="78FD1105"/>
    <w:rsid w:val="793758F2"/>
    <w:rsid w:val="79C0590F"/>
    <w:rsid w:val="7A080BBF"/>
    <w:rsid w:val="7A0E1DB4"/>
    <w:rsid w:val="7A4F2396"/>
    <w:rsid w:val="7A516C18"/>
    <w:rsid w:val="7A787ECB"/>
    <w:rsid w:val="7A875FC6"/>
    <w:rsid w:val="7A8B51CB"/>
    <w:rsid w:val="7A984514"/>
    <w:rsid w:val="7AB507FA"/>
    <w:rsid w:val="7AC634CB"/>
    <w:rsid w:val="7ACB482C"/>
    <w:rsid w:val="7AE7260F"/>
    <w:rsid w:val="7AEB331B"/>
    <w:rsid w:val="7AF137EF"/>
    <w:rsid w:val="7B100283"/>
    <w:rsid w:val="7B2531D6"/>
    <w:rsid w:val="7B3D3F94"/>
    <w:rsid w:val="7B5261F1"/>
    <w:rsid w:val="7B5B11D8"/>
    <w:rsid w:val="7B5D71AA"/>
    <w:rsid w:val="7BAE3C2D"/>
    <w:rsid w:val="7BF90DBF"/>
    <w:rsid w:val="7C41564D"/>
    <w:rsid w:val="7C8E16C9"/>
    <w:rsid w:val="7C91123B"/>
    <w:rsid w:val="7CA10AF6"/>
    <w:rsid w:val="7CB561C0"/>
    <w:rsid w:val="7CCC277F"/>
    <w:rsid w:val="7CCD3BF4"/>
    <w:rsid w:val="7CE3033A"/>
    <w:rsid w:val="7D0A2590"/>
    <w:rsid w:val="7D550752"/>
    <w:rsid w:val="7D6A7A29"/>
    <w:rsid w:val="7D702076"/>
    <w:rsid w:val="7D712B47"/>
    <w:rsid w:val="7DA0035E"/>
    <w:rsid w:val="7DCC5A45"/>
    <w:rsid w:val="7DED6343"/>
    <w:rsid w:val="7E3F65EE"/>
    <w:rsid w:val="7E401756"/>
    <w:rsid w:val="7E630B4F"/>
    <w:rsid w:val="7E642324"/>
    <w:rsid w:val="7E8B6D0C"/>
    <w:rsid w:val="7E905E0D"/>
    <w:rsid w:val="7EFA29D7"/>
    <w:rsid w:val="7F007923"/>
    <w:rsid w:val="7F285EA4"/>
    <w:rsid w:val="7F5B1662"/>
    <w:rsid w:val="7F5F055A"/>
    <w:rsid w:val="7F71142C"/>
    <w:rsid w:val="7F787EDB"/>
    <w:rsid w:val="7FA464F2"/>
    <w:rsid w:val="7FCD388E"/>
    <w:rsid w:val="7FE8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outlineLvl w:val="3"/>
    </w:pPr>
    <w:rPr>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7">
    <w:name w:val="annotation text"/>
    <w:basedOn w:val="1"/>
    <w:link w:val="59"/>
    <w:semiHidden/>
    <w:unhideWhenUsed/>
    <w:qFormat/>
    <w:uiPriority w:val="99"/>
    <w:pPr>
      <w:spacing w:line="240" w:lineRule="auto"/>
    </w:pPr>
    <w:rPr>
      <w:szCs w:val="20"/>
    </w:rPr>
  </w:style>
  <w:style w:type="paragraph" w:styleId="8">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2">
    <w:name w:val="header"/>
    <w:basedOn w:val="1"/>
    <w:link w:val="54"/>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60"/>
    <w:semiHidden/>
    <w:unhideWhenUsed/>
    <w:qFormat/>
    <w:uiPriority w:val="99"/>
    <w:rPr>
      <w:b/>
      <w:bCs/>
    </w:rPr>
  </w:style>
  <w:style w:type="table" w:styleId="19">
    <w:name w:val="Table Grid"/>
    <w:basedOn w:val="18"/>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rPr>
  </w:style>
  <w:style w:type="character" w:styleId="22">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annotation reference"/>
    <w:basedOn w:val="20"/>
    <w:semiHidden/>
    <w:unhideWhenUsed/>
    <w:qFormat/>
    <w:uiPriority w:val="99"/>
    <w:rPr>
      <w:sz w:val="16"/>
      <w:szCs w:val="16"/>
    </w:rPr>
  </w:style>
  <w:style w:type="character" w:customStyle="1" w:styleId="25">
    <w:name w:val="标题 2 Char"/>
    <w:basedOn w:val="20"/>
    <w:link w:val="3"/>
    <w:qFormat/>
    <w:uiPriority w:val="0"/>
    <w:rPr>
      <w:rFonts w:ascii="Arial" w:hAnsi="Arial" w:eastAsia="Times New Roman" w:cs="Times New Roman"/>
      <w:sz w:val="32"/>
      <w:szCs w:val="20"/>
      <w:lang w:val="en-GB"/>
    </w:rPr>
  </w:style>
  <w:style w:type="character" w:customStyle="1" w:styleId="26">
    <w:name w:val="标题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0"/>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列出段落 Char"/>
    <w:basedOn w:val="20"/>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6"/>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标题1"/>
    <w:basedOn w:val="2"/>
    <w:next w:val="1"/>
    <w:unhideWhenUsed/>
    <w:qFormat/>
    <w:uiPriority w:val="39"/>
    <w:pPr>
      <w:outlineLvl w:val="9"/>
    </w:pPr>
  </w:style>
  <w:style w:type="character" w:customStyle="1" w:styleId="39">
    <w:name w:val="题注 Char"/>
    <w:basedOn w:val="20"/>
    <w:link w:val="6"/>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0"/>
    <w:semiHidden/>
    <w:unhideWhenUsed/>
    <w:qFormat/>
    <w:uiPriority w:val="99"/>
    <w:rPr>
      <w:color w:val="808080"/>
      <w:shd w:val="clear" w:color="auto" w:fill="E6E6E6"/>
    </w:rPr>
  </w:style>
  <w:style w:type="character" w:customStyle="1" w:styleId="44">
    <w:name w:val="标题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正文文本 Char"/>
    <w:basedOn w:val="20"/>
    <w:link w:val="8"/>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页眉 Char"/>
    <w:basedOn w:val="20"/>
    <w:link w:val="12"/>
    <w:semiHidden/>
    <w:qFormat/>
    <w:locked/>
    <w:uiPriority w:val="0"/>
    <w:rPr>
      <w:rFonts w:ascii="Tms Rmn" w:hAnsi="Tms Rmn"/>
      <w:b/>
      <w:sz w:val="18"/>
    </w:rPr>
  </w:style>
  <w:style w:type="character" w:customStyle="1" w:styleId="55">
    <w:name w:val="Header Char1"/>
    <w:basedOn w:val="20"/>
    <w:semiHidden/>
    <w:qFormat/>
    <w:uiPriority w:val="99"/>
    <w:rPr>
      <w:rFonts w:ascii="Times New Roman" w:hAnsi="Times New Roman"/>
      <w:sz w:val="20"/>
    </w:rPr>
  </w:style>
  <w:style w:type="character" w:customStyle="1" w:styleId="56">
    <w:name w:val="批注框文本 Char"/>
    <w:basedOn w:val="20"/>
    <w:link w:val="11"/>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pPr>
    <w:rPr>
      <w:rFonts w:ascii="Arial" w:hAnsi="Arial" w:cs="Arial" w:eastAsiaTheme="minorHAnsi"/>
      <w:sz w:val="22"/>
      <w:szCs w:val="22"/>
      <w:lang w:val="en-GB" w:eastAsia="en-US" w:bidi="ar-SA"/>
    </w:rPr>
  </w:style>
  <w:style w:type="character" w:customStyle="1" w:styleId="59">
    <w:name w:val="批注文字 Char"/>
    <w:basedOn w:val="20"/>
    <w:link w:val="7"/>
    <w:semiHidden/>
    <w:qFormat/>
    <w:uiPriority w:val="99"/>
    <w:rPr>
      <w:rFonts w:ascii="Times New Roman" w:hAnsi="Times New Roman"/>
      <w:sz w:val="20"/>
      <w:szCs w:val="20"/>
    </w:rPr>
  </w:style>
  <w:style w:type="character" w:customStyle="1" w:styleId="60">
    <w:name w:val="批注主题 Char"/>
    <w:basedOn w:val="59"/>
    <w:link w:val="17"/>
    <w:semiHidden/>
    <w:qFormat/>
    <w:uiPriority w:val="99"/>
    <w:rPr>
      <w:rFonts w:ascii="Times New Roman" w:hAnsi="Times New Roman"/>
      <w:b/>
      <w:bCs/>
      <w:sz w:val="20"/>
      <w:szCs w:val="20"/>
    </w:rPr>
  </w:style>
  <w:style w:type="paragraph" w:customStyle="1" w:styleId="61">
    <w:name w:val="3GPP Normal Text"/>
    <w:basedOn w:val="8"/>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0"/>
    <w:qFormat/>
    <w:uiPriority w:val="0"/>
  </w:style>
  <w:style w:type="paragraph" w:customStyle="1" w:styleId="68">
    <w:name w:val="TF"/>
    <w:basedOn w:val="64"/>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17870EBA-560E-4E7C-A664-22A449C60D13}">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6</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LiNan</cp:lastModifiedBy>
  <cp:lastPrinted>2019-04-29T06:52:00Z</cp:lastPrinted>
  <dcterms:modified xsi:type="dcterms:W3CDTF">2021-10-22T10:19:13Z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